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459" w:rsidRDefault="00014905" w:rsidP="00BE06B0">
      <w:pPr>
        <w:ind w:left="2410"/>
      </w:pPr>
      <w:r>
        <w:rPr>
          <w:noProof/>
          <w:lang w:eastAsia="it-IT"/>
        </w:rPr>
        <w:drawing>
          <wp:inline distT="0" distB="0" distL="0" distR="0">
            <wp:extent cx="2853055" cy="1045845"/>
            <wp:effectExtent l="19050" t="0" r="4445" b="0"/>
            <wp:docPr id="1" name="Immagine 1" descr="idefics_logo_engl_RGB_claim_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fics_logo_engl_RGB_claim_bild"/>
                    <pic:cNvPicPr>
                      <a:picLocks noChangeAspect="1" noChangeArrowheads="1"/>
                    </pic:cNvPicPr>
                  </pic:nvPicPr>
                  <pic:blipFill>
                    <a:blip r:embed="rId7" cstate="print"/>
                    <a:srcRect/>
                    <a:stretch>
                      <a:fillRect/>
                    </a:stretch>
                  </pic:blipFill>
                  <pic:spPr bwMode="auto">
                    <a:xfrm>
                      <a:off x="0" y="0"/>
                      <a:ext cx="2853055" cy="1045845"/>
                    </a:xfrm>
                    <a:prstGeom prst="rect">
                      <a:avLst/>
                    </a:prstGeom>
                    <a:noFill/>
                    <a:ln w="9525">
                      <a:noFill/>
                      <a:miter lim="800000"/>
                      <a:headEnd/>
                      <a:tailEnd/>
                    </a:ln>
                  </pic:spPr>
                </pic:pic>
              </a:graphicData>
            </a:graphic>
          </wp:inline>
        </w:drawing>
      </w:r>
    </w:p>
    <w:p w:rsidR="00BE06B0" w:rsidRDefault="00BE06B0" w:rsidP="00C8639F">
      <w:pPr>
        <w:pStyle w:val="Titolo2"/>
        <w:jc w:val="center"/>
        <w:rPr>
          <w:lang w:val="en-US"/>
        </w:rPr>
      </w:pPr>
      <w:proofErr w:type="spellStart"/>
      <w:r w:rsidRPr="00BE06B0">
        <w:rPr>
          <w:lang w:val="en-US"/>
        </w:rPr>
        <w:t>Progetto</w:t>
      </w:r>
      <w:proofErr w:type="spellEnd"/>
      <w:r w:rsidRPr="00BE06B0">
        <w:rPr>
          <w:lang w:val="en-US"/>
        </w:rPr>
        <w:t xml:space="preserve"> IDEFICS: </w:t>
      </w:r>
      <w:r w:rsidRPr="00BE06B0">
        <w:rPr>
          <w:color w:val="FF0000"/>
          <w:sz w:val="28"/>
          <w:lang w:val="en-US"/>
        </w:rPr>
        <w:t>I</w:t>
      </w:r>
      <w:r w:rsidRPr="00BE06B0">
        <w:rPr>
          <w:lang w:val="en-US"/>
        </w:rPr>
        <w:t xml:space="preserve">dentification and prevention of </w:t>
      </w:r>
      <w:r w:rsidRPr="00BE06B0">
        <w:rPr>
          <w:color w:val="FF0000"/>
          <w:sz w:val="28"/>
          <w:lang w:val="en-US"/>
        </w:rPr>
        <w:t>D</w:t>
      </w:r>
      <w:r w:rsidRPr="00BE06B0">
        <w:rPr>
          <w:lang w:val="en-US"/>
        </w:rPr>
        <w:t xml:space="preserve">ietary and Lifestyle induced health </w:t>
      </w:r>
      <w:proofErr w:type="spellStart"/>
      <w:r w:rsidRPr="00BE06B0">
        <w:rPr>
          <w:color w:val="FF0000"/>
          <w:sz w:val="28"/>
          <w:lang w:val="en-US"/>
        </w:rPr>
        <w:t>EF</w:t>
      </w:r>
      <w:r w:rsidRPr="00BE06B0">
        <w:rPr>
          <w:lang w:val="en-US"/>
        </w:rPr>
        <w:t>fects</w:t>
      </w:r>
      <w:proofErr w:type="spellEnd"/>
      <w:r w:rsidRPr="00BE06B0">
        <w:rPr>
          <w:lang w:val="en-US"/>
        </w:rPr>
        <w:t xml:space="preserve"> </w:t>
      </w:r>
      <w:r w:rsidRPr="00BE06B0">
        <w:rPr>
          <w:color w:val="FF0000"/>
          <w:sz w:val="28"/>
          <w:lang w:val="en-US"/>
        </w:rPr>
        <w:t>I</w:t>
      </w:r>
      <w:r w:rsidRPr="00BE06B0">
        <w:rPr>
          <w:lang w:val="en-US"/>
        </w:rPr>
        <w:t xml:space="preserve">n </w:t>
      </w:r>
      <w:r w:rsidRPr="00BE06B0">
        <w:rPr>
          <w:color w:val="FF0000"/>
          <w:sz w:val="28"/>
          <w:lang w:val="en-US"/>
        </w:rPr>
        <w:t>C</w:t>
      </w:r>
      <w:r w:rsidRPr="00BE06B0">
        <w:rPr>
          <w:lang w:val="en-US"/>
        </w:rPr>
        <w:t xml:space="preserve">hildren and </w:t>
      </w:r>
      <w:proofErr w:type="spellStart"/>
      <w:r w:rsidRPr="00BE06B0">
        <w:rPr>
          <w:lang w:val="en-US"/>
        </w:rPr>
        <w:t>infant</w:t>
      </w:r>
      <w:r w:rsidRPr="00BE06B0">
        <w:rPr>
          <w:color w:val="FF0000"/>
          <w:sz w:val="28"/>
          <w:lang w:val="en-US"/>
        </w:rPr>
        <w:t>S</w:t>
      </w:r>
      <w:proofErr w:type="spellEnd"/>
      <w:r w:rsidRPr="00BE06B0">
        <w:rPr>
          <w:lang w:val="en-US"/>
        </w:rPr>
        <w:t>.</w:t>
      </w:r>
    </w:p>
    <w:p w:rsidR="00BE06B0" w:rsidRPr="00BE06B0" w:rsidRDefault="00BE06B0" w:rsidP="00C8639F">
      <w:pPr>
        <w:pStyle w:val="Titolo2"/>
        <w:jc w:val="center"/>
        <w:rPr>
          <w:b w:val="0"/>
          <w:sz w:val="24"/>
        </w:rPr>
      </w:pPr>
      <w:r w:rsidRPr="00BE06B0">
        <w:rPr>
          <w:b w:val="0"/>
          <w:sz w:val="24"/>
          <w:lang w:val="en-US"/>
        </w:rPr>
        <w:t xml:space="preserve">European Commission Sixth Framework </w:t>
      </w:r>
      <w:proofErr w:type="spellStart"/>
      <w:r w:rsidRPr="00BE06B0">
        <w:rPr>
          <w:b w:val="0"/>
          <w:sz w:val="24"/>
          <w:lang w:val="en-US"/>
        </w:rPr>
        <w:t>Programme</w:t>
      </w:r>
      <w:proofErr w:type="spellEnd"/>
      <w:r w:rsidRPr="00BE06B0">
        <w:rPr>
          <w:b w:val="0"/>
          <w:sz w:val="24"/>
          <w:lang w:val="en-US"/>
        </w:rPr>
        <w:t xml:space="preserve">.  </w:t>
      </w:r>
      <w:proofErr w:type="spellStart"/>
      <w:r w:rsidRPr="00BE06B0">
        <w:rPr>
          <w:b w:val="0"/>
          <w:sz w:val="24"/>
        </w:rPr>
        <w:t>Contract</w:t>
      </w:r>
      <w:proofErr w:type="spellEnd"/>
      <w:r w:rsidRPr="00BE06B0">
        <w:rPr>
          <w:b w:val="0"/>
          <w:sz w:val="24"/>
        </w:rPr>
        <w:t xml:space="preserve"> </w:t>
      </w:r>
      <w:proofErr w:type="spellStart"/>
      <w:r w:rsidRPr="00BE06B0">
        <w:rPr>
          <w:b w:val="0"/>
          <w:sz w:val="24"/>
        </w:rPr>
        <w:t>n°</w:t>
      </w:r>
      <w:proofErr w:type="spellEnd"/>
      <w:r w:rsidRPr="00BE06B0">
        <w:rPr>
          <w:b w:val="0"/>
          <w:sz w:val="24"/>
        </w:rPr>
        <w:t xml:space="preserve"> 016181 (FOOD)</w:t>
      </w:r>
    </w:p>
    <w:p w:rsidR="00BE06B0" w:rsidRDefault="00BE06B0" w:rsidP="00BE06B0">
      <w:pPr>
        <w:jc w:val="center"/>
        <w:rPr>
          <w:b/>
          <w:bCs/>
          <w:szCs w:val="20"/>
        </w:rPr>
      </w:pPr>
      <w:r>
        <w:rPr>
          <w:b/>
          <w:bCs/>
          <w:szCs w:val="20"/>
        </w:rPr>
        <w:t xml:space="preserve">Istituto di Scienze dell’Alimentazione, CNR - Azienda Sanitaria Locale Avellino </w:t>
      </w:r>
    </w:p>
    <w:p w:rsidR="00BE06B0" w:rsidRDefault="00BE06B0" w:rsidP="00BE06B0">
      <w:pPr>
        <w:pStyle w:val="Titolo1"/>
        <w:jc w:val="center"/>
        <w:rPr>
          <w:szCs w:val="24"/>
        </w:rPr>
      </w:pPr>
      <w:r>
        <w:rPr>
          <w:szCs w:val="24"/>
        </w:rPr>
        <w:t>Imparare a vivere in modo salutare – Sviluppo di una strategia d’intervento europea</w:t>
      </w:r>
    </w:p>
    <w:p w:rsidR="00BE06B0" w:rsidRDefault="00BE06B0" w:rsidP="00BE06B0">
      <w:pPr>
        <w:rPr>
          <w:b/>
          <w:bCs/>
          <w:szCs w:val="20"/>
        </w:rPr>
      </w:pPr>
    </w:p>
    <w:p w:rsidR="00BE06B0" w:rsidRDefault="00BE06B0" w:rsidP="00BE06B0">
      <w:pPr>
        <w:jc w:val="both"/>
        <w:rPr>
          <w:szCs w:val="16"/>
        </w:rPr>
      </w:pPr>
      <w:r>
        <w:rPr>
          <w:szCs w:val="18"/>
        </w:rPr>
        <w:t>Il progetto IDEFICS (Identificazione e prevenzione degli effetti indotti dalla dieta e dallo stile di vita sulla salute dei bambini) è uno studio epidemiologico multicentrico europeo della durata di 5 anni</w:t>
      </w:r>
      <w:r w:rsidR="007A1E3C">
        <w:rPr>
          <w:szCs w:val="18"/>
        </w:rPr>
        <w:t xml:space="preserve">, </w:t>
      </w:r>
      <w:r>
        <w:rPr>
          <w:szCs w:val="18"/>
        </w:rPr>
        <w:t xml:space="preserve">finanziato dalla Commissione Europea nell’ambito del </w:t>
      </w:r>
      <w:proofErr w:type="spellStart"/>
      <w:r>
        <w:rPr>
          <w:szCs w:val="18"/>
        </w:rPr>
        <w:t>VI</w:t>
      </w:r>
      <w:proofErr w:type="spellEnd"/>
      <w:r>
        <w:rPr>
          <w:szCs w:val="18"/>
        </w:rPr>
        <w:t xml:space="preserve"> Programma Quadro. Tale progetto è il primo ad avere come obiettivo lo studio dei fattori nutrizionali e degli stili di vita dei bambini da due a otto anni in nove paesi della Comunità Europea, con il fine ultimo di </w:t>
      </w:r>
      <w:r w:rsidRPr="00676768">
        <w:rPr>
          <w:b/>
          <w:szCs w:val="18"/>
        </w:rPr>
        <w:t>comprendere le cause multifattoriali</w:t>
      </w:r>
      <w:r>
        <w:rPr>
          <w:szCs w:val="18"/>
        </w:rPr>
        <w:t xml:space="preserve"> dello sviluppo del soprappeso nell’età evolutiva e di </w:t>
      </w:r>
      <w:r w:rsidR="00B238EF">
        <w:rPr>
          <w:b/>
          <w:szCs w:val="18"/>
        </w:rPr>
        <w:t>la realizzazione di</w:t>
      </w:r>
      <w:r w:rsidRPr="00676768">
        <w:rPr>
          <w:b/>
          <w:szCs w:val="18"/>
        </w:rPr>
        <w:t xml:space="preserve"> efficaci strategie di prevenzione</w:t>
      </w:r>
      <w:r>
        <w:rPr>
          <w:szCs w:val="18"/>
        </w:rPr>
        <w:t xml:space="preserve">. </w:t>
      </w:r>
      <w:r w:rsidR="00676768">
        <w:rPr>
          <w:szCs w:val="18"/>
        </w:rPr>
        <w:t xml:space="preserve">È </w:t>
      </w:r>
      <w:r>
        <w:rPr>
          <w:szCs w:val="18"/>
        </w:rPr>
        <w:t>ben noto infatti che in tutti i paesi industrializzati –ma anche in quelli di più recente industrializzazione- si è osservato negli ultimi anni un aumento rapido e significativo della prevalenza di sovrappeso e obesità, sia negli adulti che negli adolescenti e nell’infanzia. Le autorità sanitarie</w:t>
      </w:r>
      <w:r w:rsidR="00676768">
        <w:rPr>
          <w:szCs w:val="18"/>
        </w:rPr>
        <w:t xml:space="preserve"> devono</w:t>
      </w:r>
      <w:r>
        <w:rPr>
          <w:szCs w:val="18"/>
        </w:rPr>
        <w:t xml:space="preserve">, quindi, confrontarsi con l’aumento delle patologie legate alla condizione di sovrappeso/obesità, in particolare diabete, sindrome metabolica, cardiopatia coronarica, patologie respiratorie e osteoarticolari, con conseguente insostenibile aumento della spesa sanitaria.  </w:t>
      </w:r>
      <w:r>
        <w:rPr>
          <w:szCs w:val="16"/>
        </w:rPr>
        <w:t xml:space="preserve">Per modificare questa tendenza negativa è indispensabile comprenderne le cause culturali, socio-economiche e nutrizionali e </w:t>
      </w:r>
      <w:r w:rsidR="00676768">
        <w:rPr>
          <w:szCs w:val="16"/>
        </w:rPr>
        <w:t xml:space="preserve">identificare modalità di intervento semplici ed efficaci, applicabili in tutta Europa, che permettano di modificare i comportamenti per </w:t>
      </w:r>
      <w:r>
        <w:rPr>
          <w:szCs w:val="16"/>
        </w:rPr>
        <w:t>vive</w:t>
      </w:r>
      <w:r w:rsidR="00676768">
        <w:rPr>
          <w:szCs w:val="16"/>
        </w:rPr>
        <w:t>re in modo salutare</w:t>
      </w:r>
      <w:r>
        <w:rPr>
          <w:szCs w:val="16"/>
        </w:rPr>
        <w:t>.</w:t>
      </w:r>
    </w:p>
    <w:p w:rsidR="00076A73" w:rsidRDefault="00076A73" w:rsidP="00BE06B0">
      <w:pPr>
        <w:jc w:val="both"/>
        <w:rPr>
          <w:szCs w:val="16"/>
        </w:rPr>
      </w:pPr>
    </w:p>
    <w:p w:rsidR="00E973BA" w:rsidRPr="00500544" w:rsidRDefault="00E973BA" w:rsidP="00E973BA">
      <w:pPr>
        <w:rPr>
          <w:b/>
          <w:sz w:val="28"/>
          <w:szCs w:val="20"/>
        </w:rPr>
      </w:pPr>
      <w:r w:rsidRPr="00500544">
        <w:rPr>
          <w:b/>
          <w:sz w:val="28"/>
          <w:szCs w:val="20"/>
        </w:rPr>
        <w:t>IL PROGETTO IDEFICS</w:t>
      </w:r>
    </w:p>
    <w:p w:rsidR="00014905" w:rsidRDefault="00014905" w:rsidP="00076A73">
      <w:pPr>
        <w:jc w:val="both"/>
      </w:pPr>
      <w:r>
        <w:rPr>
          <w:noProof/>
          <w:lang w:eastAsia="it-IT"/>
        </w:rPr>
        <w:drawing>
          <wp:anchor distT="0" distB="0" distL="114300" distR="114300" simplePos="0" relativeHeight="251662336" behindDoc="0" locked="0" layoutInCell="1" allowOverlap="1">
            <wp:simplePos x="0" y="0"/>
            <wp:positionH relativeFrom="column">
              <wp:posOffset>16510</wp:posOffset>
            </wp:positionH>
            <wp:positionV relativeFrom="paragraph">
              <wp:posOffset>20320</wp:posOffset>
            </wp:positionV>
            <wp:extent cx="1836420" cy="1936750"/>
            <wp:effectExtent l="38100" t="19050" r="11430" b="25400"/>
            <wp:wrapSquare wrapText="bothSides"/>
            <wp:docPr id="3" name="Immagine 2" descr="en_europakarte_idefics_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_europakarte_idefics_FARBE"/>
                    <pic:cNvPicPr>
                      <a:picLocks noChangeAspect="1" noChangeArrowheads="1"/>
                    </pic:cNvPicPr>
                  </pic:nvPicPr>
                  <pic:blipFill>
                    <a:blip r:embed="rId8" cstate="print"/>
                    <a:srcRect/>
                    <a:stretch>
                      <a:fillRect/>
                    </a:stretch>
                  </pic:blipFill>
                  <pic:spPr bwMode="auto">
                    <a:xfrm>
                      <a:off x="0" y="0"/>
                      <a:ext cx="1836420" cy="1936750"/>
                    </a:xfrm>
                    <a:prstGeom prst="rect">
                      <a:avLst/>
                    </a:prstGeom>
                    <a:noFill/>
                    <a:ln w="9525">
                      <a:solidFill>
                        <a:srgbClr val="000000"/>
                      </a:solidFill>
                      <a:miter lim="800000"/>
                      <a:headEnd/>
                      <a:tailEnd/>
                    </a:ln>
                    <a:effectLst/>
                  </pic:spPr>
                </pic:pic>
              </a:graphicData>
            </a:graphic>
          </wp:anchor>
        </w:drawing>
      </w:r>
      <w:r w:rsidR="00F00840">
        <w:t xml:space="preserve">25 Centri di ricerca, da diversi </w:t>
      </w:r>
      <w:r w:rsidR="00A149E5">
        <w:t xml:space="preserve">Paesi </w:t>
      </w:r>
      <w:r w:rsidR="00F00840">
        <w:t>europei, hanno partecipato al progetto IDEFICS. Più specificamente, Svezia, Estonia, Germania, Belgio, Ungheria, Italia, Spagna e Cipro (in verde nella Figura 1) sono stati sede di reclutamento e di esecuzione dell’intervento.</w:t>
      </w:r>
    </w:p>
    <w:p w:rsidR="00F00840" w:rsidRDefault="00F00840" w:rsidP="00014905">
      <w:pPr>
        <w:rPr>
          <w:b/>
          <w:sz w:val="20"/>
          <w:szCs w:val="20"/>
        </w:rPr>
      </w:pPr>
    </w:p>
    <w:p w:rsidR="00F00840" w:rsidRDefault="00F00840" w:rsidP="00014905">
      <w:pPr>
        <w:rPr>
          <w:b/>
          <w:sz w:val="20"/>
          <w:szCs w:val="20"/>
        </w:rPr>
      </w:pPr>
    </w:p>
    <w:p w:rsidR="00F00840" w:rsidRDefault="00F00840" w:rsidP="00014905">
      <w:pPr>
        <w:rPr>
          <w:b/>
          <w:sz w:val="20"/>
          <w:szCs w:val="20"/>
        </w:rPr>
      </w:pPr>
    </w:p>
    <w:p w:rsidR="00014905" w:rsidRPr="00F00840" w:rsidRDefault="00014905" w:rsidP="00014905">
      <w:pPr>
        <w:rPr>
          <w:b/>
          <w:sz w:val="20"/>
          <w:szCs w:val="20"/>
        </w:rPr>
      </w:pPr>
      <w:r w:rsidRPr="00F00840">
        <w:rPr>
          <w:b/>
          <w:sz w:val="20"/>
          <w:szCs w:val="20"/>
        </w:rPr>
        <w:t>Figur</w:t>
      </w:r>
      <w:r w:rsidR="00F00840" w:rsidRPr="00F00840">
        <w:rPr>
          <w:b/>
          <w:sz w:val="20"/>
          <w:szCs w:val="20"/>
        </w:rPr>
        <w:t>a</w:t>
      </w:r>
      <w:r w:rsidRPr="00F00840">
        <w:rPr>
          <w:b/>
          <w:sz w:val="20"/>
          <w:szCs w:val="20"/>
        </w:rPr>
        <w:t xml:space="preserve"> 1: </w:t>
      </w:r>
      <w:r w:rsidR="00F00840" w:rsidRPr="00F00840">
        <w:rPr>
          <w:b/>
          <w:sz w:val="20"/>
          <w:szCs w:val="20"/>
        </w:rPr>
        <w:t>Paesi europei partecipanti al progetto IDEFICS</w:t>
      </w:r>
    </w:p>
    <w:p w:rsidR="00076A73" w:rsidRPr="00076A73" w:rsidRDefault="00014905" w:rsidP="00E973BA">
      <w:r>
        <w:rPr>
          <w:b/>
          <w:bCs/>
          <w:noProof/>
          <w:sz w:val="20"/>
          <w:szCs w:val="20"/>
          <w:lang w:eastAsia="it-IT"/>
        </w:rPr>
        <w:lastRenderedPageBreak/>
        <w:drawing>
          <wp:anchor distT="0" distB="0" distL="114300" distR="114300" simplePos="0" relativeHeight="251663360" behindDoc="0" locked="0" layoutInCell="1" allowOverlap="1">
            <wp:simplePos x="0" y="0"/>
            <wp:positionH relativeFrom="column">
              <wp:posOffset>16510</wp:posOffset>
            </wp:positionH>
            <wp:positionV relativeFrom="paragraph">
              <wp:posOffset>1905</wp:posOffset>
            </wp:positionV>
            <wp:extent cx="2190750" cy="3314065"/>
            <wp:effectExtent l="19050" t="0" r="0" b="0"/>
            <wp:wrapSquare wrapText="bothSides"/>
            <wp:docPr id="7" name="Immagine 7" descr="idefics_overview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fics_overview_1"/>
                    <pic:cNvPicPr>
                      <a:picLocks noChangeAspect="1" noChangeArrowheads="1"/>
                    </pic:cNvPicPr>
                  </pic:nvPicPr>
                  <pic:blipFill>
                    <a:blip r:embed="rId9" cstate="print"/>
                    <a:srcRect/>
                    <a:stretch>
                      <a:fillRect/>
                    </a:stretch>
                  </pic:blipFill>
                  <pic:spPr bwMode="auto">
                    <a:xfrm>
                      <a:off x="0" y="0"/>
                      <a:ext cx="2190750" cy="3314065"/>
                    </a:xfrm>
                    <a:prstGeom prst="rect">
                      <a:avLst/>
                    </a:prstGeom>
                    <a:noFill/>
                    <a:ln w="9525">
                      <a:noFill/>
                      <a:miter lim="800000"/>
                      <a:headEnd/>
                      <a:tailEnd/>
                    </a:ln>
                  </pic:spPr>
                </pic:pic>
              </a:graphicData>
            </a:graphic>
          </wp:anchor>
        </w:drawing>
      </w:r>
      <w:r w:rsidR="00076A73" w:rsidRPr="00076A73">
        <w:t xml:space="preserve">In Figura 2 è stato schematizzato il disegno del Progetto IDEFICS. </w:t>
      </w:r>
    </w:p>
    <w:p w:rsidR="00076A73" w:rsidRDefault="00076A73" w:rsidP="00076A73">
      <w:pPr>
        <w:jc w:val="both"/>
      </w:pPr>
      <w:r w:rsidRPr="00076A73">
        <w:t xml:space="preserve">La coorte di bambini partecipanti è stata sottoposta ad uno </w:t>
      </w:r>
      <w:r w:rsidRPr="0024052B">
        <w:rPr>
          <w:b/>
        </w:rPr>
        <w:t>screening</w:t>
      </w:r>
      <w:r w:rsidRPr="00076A73">
        <w:t xml:space="preserve"> basale </w:t>
      </w:r>
      <w:r>
        <w:t>nel corso del quale sono stati valutati i principali indici antropometrici, alcuni indici metabolici, le abitudini alimentari e gli stili di vita.</w:t>
      </w:r>
    </w:p>
    <w:p w:rsidR="00E973BA" w:rsidRDefault="00E973BA" w:rsidP="00076A73">
      <w:pPr>
        <w:jc w:val="both"/>
      </w:pPr>
      <w:r>
        <w:t xml:space="preserve">Successivamente i partecipanti sono stati divisi in due gruppi di </w:t>
      </w:r>
      <w:r w:rsidRPr="0024052B">
        <w:rPr>
          <w:b/>
        </w:rPr>
        <w:t>intervento</w:t>
      </w:r>
      <w:r>
        <w:t>, uno definito “standard” ed uno “intensivo”, quest’ultimo articolato attraverso lo sviluppo di specifici messaggi-chiave (Figura 2, schema in alto).</w:t>
      </w:r>
    </w:p>
    <w:p w:rsidR="00E973BA" w:rsidRPr="00076A73" w:rsidRDefault="00E973BA" w:rsidP="00076A73">
      <w:pPr>
        <w:jc w:val="both"/>
      </w:pPr>
      <w:r>
        <w:t xml:space="preserve">Durante l’ultima fase del progetto è stato poi effettuato nell’intera coorte il follow-up per la valutazione prospettica delle caratteristiche del campione e la valutazione dell’efficacia dell’intervento, secondo il </w:t>
      </w:r>
      <w:proofErr w:type="spellStart"/>
      <w:r>
        <w:t>cronoprogramma</w:t>
      </w:r>
      <w:proofErr w:type="spellEnd"/>
      <w:r>
        <w:t xml:space="preserve"> riportato nella Figura 3. </w:t>
      </w:r>
    </w:p>
    <w:p w:rsidR="00076A73" w:rsidRDefault="00076A73" w:rsidP="00076A73">
      <w:pPr>
        <w:rPr>
          <w:b/>
          <w:sz w:val="20"/>
          <w:szCs w:val="20"/>
        </w:rPr>
      </w:pPr>
    </w:p>
    <w:p w:rsidR="00076A73" w:rsidRPr="00076A73" w:rsidRDefault="00E973BA" w:rsidP="00076A73">
      <w:pPr>
        <w:rPr>
          <w:b/>
          <w:sz w:val="20"/>
          <w:szCs w:val="20"/>
        </w:rPr>
      </w:pPr>
      <w:r>
        <w:rPr>
          <w:b/>
          <w:sz w:val="20"/>
          <w:szCs w:val="20"/>
        </w:rPr>
        <w:t>Figura 2:</w:t>
      </w:r>
      <w:r w:rsidR="00076A73">
        <w:rPr>
          <w:b/>
          <w:sz w:val="20"/>
          <w:szCs w:val="20"/>
        </w:rPr>
        <w:t xml:space="preserve"> Disegno dello </w:t>
      </w:r>
      <w:r w:rsidR="00076A73" w:rsidRPr="00076A73">
        <w:rPr>
          <w:b/>
          <w:sz w:val="20"/>
          <w:szCs w:val="20"/>
        </w:rPr>
        <w:t>studio</w:t>
      </w:r>
    </w:p>
    <w:p w:rsidR="00014905" w:rsidRPr="00076A73" w:rsidRDefault="00014905" w:rsidP="00014905">
      <w:pPr>
        <w:rPr>
          <w:b/>
          <w:sz w:val="20"/>
          <w:szCs w:val="20"/>
        </w:rPr>
      </w:pPr>
    </w:p>
    <w:p w:rsidR="00014905" w:rsidRDefault="00014905" w:rsidP="00014905">
      <w:pPr>
        <w:rPr>
          <w:b/>
          <w:sz w:val="20"/>
          <w:szCs w:val="20"/>
          <w:lang w:val="en-US"/>
        </w:rPr>
      </w:pPr>
      <w:r>
        <w:rPr>
          <w:noProof/>
          <w:lang w:eastAsia="it-IT"/>
        </w:rPr>
        <w:drawing>
          <wp:inline distT="0" distB="0" distL="0" distR="0">
            <wp:extent cx="4418965" cy="600075"/>
            <wp:effectExtent l="19050" t="0" r="635"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418965" cy="600075"/>
                    </a:xfrm>
                    <a:prstGeom prst="rect">
                      <a:avLst/>
                    </a:prstGeom>
                    <a:noFill/>
                    <a:ln w="9525" algn="ctr">
                      <a:noFill/>
                      <a:miter lim="800000"/>
                      <a:headEnd/>
                      <a:tailEnd/>
                    </a:ln>
                    <a:effectLst/>
                  </pic:spPr>
                </pic:pic>
              </a:graphicData>
            </a:graphic>
          </wp:inline>
        </w:drawing>
      </w:r>
    </w:p>
    <w:p w:rsidR="00014905" w:rsidRPr="00500544" w:rsidRDefault="00014905" w:rsidP="00014905">
      <w:pPr>
        <w:rPr>
          <w:b/>
          <w:sz w:val="20"/>
          <w:szCs w:val="20"/>
        </w:rPr>
      </w:pPr>
      <w:bookmarkStart w:id="0" w:name="_Ref264026658"/>
      <w:r w:rsidRPr="00500544">
        <w:rPr>
          <w:b/>
          <w:sz w:val="20"/>
          <w:szCs w:val="20"/>
        </w:rPr>
        <w:t>Figur</w:t>
      </w:r>
      <w:r w:rsidR="00076A73" w:rsidRPr="00500544">
        <w:rPr>
          <w:b/>
          <w:sz w:val="20"/>
          <w:szCs w:val="20"/>
        </w:rPr>
        <w:t>a</w:t>
      </w:r>
      <w:r w:rsidRPr="00500544">
        <w:rPr>
          <w:b/>
          <w:sz w:val="20"/>
          <w:szCs w:val="20"/>
        </w:rPr>
        <w:t xml:space="preserve"> 3</w:t>
      </w:r>
      <w:bookmarkEnd w:id="0"/>
      <w:r w:rsidRPr="00500544">
        <w:rPr>
          <w:b/>
          <w:sz w:val="20"/>
          <w:szCs w:val="20"/>
        </w:rPr>
        <w:t xml:space="preserve">: </w:t>
      </w:r>
      <w:proofErr w:type="spellStart"/>
      <w:r w:rsidR="00076A73" w:rsidRPr="00500544">
        <w:rPr>
          <w:b/>
          <w:sz w:val="20"/>
          <w:szCs w:val="20"/>
        </w:rPr>
        <w:t>Cronoprogramma</w:t>
      </w:r>
      <w:proofErr w:type="spellEnd"/>
      <w:r w:rsidR="00076A73" w:rsidRPr="00500544">
        <w:rPr>
          <w:b/>
          <w:sz w:val="20"/>
          <w:szCs w:val="20"/>
        </w:rPr>
        <w:t xml:space="preserve"> del progetto IDEFICS</w:t>
      </w:r>
      <w:r w:rsidRPr="00500544">
        <w:rPr>
          <w:b/>
          <w:sz w:val="20"/>
          <w:szCs w:val="20"/>
        </w:rPr>
        <w:t xml:space="preserve"> (T</w:t>
      </w:r>
      <w:r w:rsidRPr="00500544">
        <w:rPr>
          <w:b/>
          <w:sz w:val="20"/>
          <w:szCs w:val="20"/>
          <w:vertAlign w:val="subscript"/>
        </w:rPr>
        <w:t>0</w:t>
      </w:r>
      <w:r w:rsidRPr="00500544">
        <w:rPr>
          <w:b/>
          <w:sz w:val="20"/>
          <w:szCs w:val="20"/>
        </w:rPr>
        <w:t xml:space="preserve"> = </w:t>
      </w:r>
      <w:r w:rsidR="00076A73" w:rsidRPr="00500544">
        <w:rPr>
          <w:b/>
          <w:sz w:val="20"/>
          <w:szCs w:val="20"/>
        </w:rPr>
        <w:t>screening basale</w:t>
      </w:r>
      <w:r w:rsidRPr="00500544">
        <w:rPr>
          <w:b/>
          <w:sz w:val="20"/>
          <w:szCs w:val="20"/>
        </w:rPr>
        <w:t>; T</w:t>
      </w:r>
      <w:r w:rsidRPr="00500544">
        <w:rPr>
          <w:b/>
          <w:sz w:val="20"/>
          <w:szCs w:val="20"/>
          <w:vertAlign w:val="subscript"/>
        </w:rPr>
        <w:t>1</w:t>
      </w:r>
      <w:r w:rsidR="00076A73" w:rsidRPr="00500544">
        <w:rPr>
          <w:b/>
          <w:sz w:val="20"/>
          <w:szCs w:val="20"/>
        </w:rPr>
        <w:t xml:space="preserve"> = </w:t>
      </w:r>
      <w:r w:rsidRPr="00500544">
        <w:rPr>
          <w:b/>
          <w:sz w:val="20"/>
          <w:szCs w:val="20"/>
        </w:rPr>
        <w:t>follow-up)</w:t>
      </w:r>
    </w:p>
    <w:p w:rsidR="00014905" w:rsidRPr="00500544" w:rsidRDefault="00014905" w:rsidP="00014905">
      <w:pPr>
        <w:rPr>
          <w:b/>
          <w:sz w:val="20"/>
          <w:szCs w:val="20"/>
        </w:rPr>
      </w:pPr>
    </w:p>
    <w:p w:rsidR="00E973BA" w:rsidRPr="00500544" w:rsidRDefault="00E973BA" w:rsidP="00014905">
      <w:pPr>
        <w:rPr>
          <w:b/>
          <w:sz w:val="28"/>
          <w:szCs w:val="20"/>
        </w:rPr>
      </w:pPr>
      <w:r w:rsidRPr="00500544">
        <w:rPr>
          <w:b/>
          <w:sz w:val="28"/>
          <w:szCs w:val="20"/>
        </w:rPr>
        <w:t>OBIETTIVI</w:t>
      </w:r>
    </w:p>
    <w:p w:rsidR="00014905" w:rsidRPr="0024052B" w:rsidRDefault="00DE35FA" w:rsidP="00E973BA">
      <w:pPr>
        <w:jc w:val="both"/>
        <w:rPr>
          <w:b/>
        </w:rPr>
      </w:pPr>
      <w:r w:rsidRPr="0024052B">
        <w:rPr>
          <w:b/>
          <w:u w:val="single"/>
        </w:rPr>
        <w:t>Obiettivo</w:t>
      </w:r>
      <w:r w:rsidR="00014905" w:rsidRPr="0024052B">
        <w:rPr>
          <w:b/>
          <w:u w:val="single"/>
        </w:rPr>
        <w:t xml:space="preserve"> 1</w:t>
      </w:r>
      <w:r w:rsidRPr="0024052B">
        <w:rPr>
          <w:b/>
          <w:u w:val="single"/>
        </w:rPr>
        <w:t>:</w:t>
      </w:r>
      <w:r w:rsidRPr="0024052B">
        <w:rPr>
          <w:b/>
        </w:rPr>
        <w:t xml:space="preserve"> Caratterizzazione delle abitudini alimentari e degli stili di vita in bambini europei in età scolare</w:t>
      </w:r>
      <w:r w:rsidR="00014905" w:rsidRPr="0024052B">
        <w:rPr>
          <w:b/>
        </w:rPr>
        <w:t>.</w:t>
      </w:r>
    </w:p>
    <w:p w:rsidR="00DE35FA" w:rsidRPr="0024052B" w:rsidRDefault="00DE35FA" w:rsidP="00DE35FA">
      <w:pPr>
        <w:jc w:val="both"/>
        <w:rPr>
          <w:b/>
        </w:rPr>
      </w:pPr>
      <w:r w:rsidRPr="0024052B">
        <w:rPr>
          <w:b/>
          <w:u w:val="single"/>
        </w:rPr>
        <w:t>Obiettivo 2:</w:t>
      </w:r>
      <w:r w:rsidRPr="0024052B">
        <w:rPr>
          <w:b/>
        </w:rPr>
        <w:t xml:space="preserve"> </w:t>
      </w:r>
      <w:r w:rsidR="00EE3D32" w:rsidRPr="0024052B">
        <w:rPr>
          <w:b/>
        </w:rPr>
        <w:t>Studio dei fattori patogenetici, nutrizionali e legati agli stili di vita, dell’obesità infantile</w:t>
      </w:r>
    </w:p>
    <w:p w:rsidR="00DE35FA" w:rsidRPr="0024052B" w:rsidRDefault="00DE35FA" w:rsidP="00DE35FA">
      <w:pPr>
        <w:jc w:val="both"/>
        <w:rPr>
          <w:b/>
        </w:rPr>
      </w:pPr>
      <w:r w:rsidRPr="0024052B">
        <w:rPr>
          <w:b/>
          <w:u w:val="single"/>
        </w:rPr>
        <w:t>Obiettivo 3</w:t>
      </w:r>
      <w:r w:rsidR="00EE3D32" w:rsidRPr="0024052B">
        <w:rPr>
          <w:b/>
          <w:u w:val="single"/>
        </w:rPr>
        <w:t>:</w:t>
      </w:r>
      <w:r w:rsidR="00EE3D32" w:rsidRPr="0024052B">
        <w:rPr>
          <w:b/>
        </w:rPr>
        <w:t xml:space="preserve"> </w:t>
      </w:r>
      <w:r w:rsidR="00B238EF">
        <w:rPr>
          <w:b/>
        </w:rPr>
        <w:t>Realizzazione</w:t>
      </w:r>
      <w:r w:rsidR="00EE3D32" w:rsidRPr="0024052B">
        <w:rPr>
          <w:b/>
        </w:rPr>
        <w:t xml:space="preserve"> di un programma di intervento intensivo, modulato in base all’età, il genere e l’ambiente socio-culturale, per la prevenzione dell’obesità infantile</w:t>
      </w:r>
    </w:p>
    <w:p w:rsidR="00014905" w:rsidRPr="0024052B" w:rsidRDefault="00DE35FA" w:rsidP="00E973BA">
      <w:pPr>
        <w:jc w:val="both"/>
        <w:rPr>
          <w:b/>
        </w:rPr>
      </w:pPr>
      <w:r w:rsidRPr="0024052B">
        <w:rPr>
          <w:b/>
          <w:u w:val="single"/>
        </w:rPr>
        <w:t xml:space="preserve">Obiettivo </w:t>
      </w:r>
      <w:r w:rsidR="00014905" w:rsidRPr="0024052B">
        <w:rPr>
          <w:b/>
          <w:u w:val="single"/>
        </w:rPr>
        <w:t>4</w:t>
      </w:r>
      <w:r w:rsidR="00EE3D32" w:rsidRPr="0024052B">
        <w:rPr>
          <w:b/>
          <w:u w:val="single"/>
        </w:rPr>
        <w:t>:</w:t>
      </w:r>
      <w:r w:rsidR="00EE3D32" w:rsidRPr="0024052B">
        <w:rPr>
          <w:b/>
        </w:rPr>
        <w:t xml:space="preserve"> Ruolo della percezione sensoriale nella definizione delle scelte alimentari nei bambini</w:t>
      </w:r>
    </w:p>
    <w:p w:rsidR="00014905" w:rsidRPr="0024052B" w:rsidRDefault="00DE35FA" w:rsidP="00E973BA">
      <w:pPr>
        <w:jc w:val="both"/>
        <w:rPr>
          <w:b/>
        </w:rPr>
      </w:pPr>
      <w:r w:rsidRPr="0024052B">
        <w:rPr>
          <w:b/>
          <w:u w:val="single"/>
        </w:rPr>
        <w:t xml:space="preserve">Obiettivo </w:t>
      </w:r>
      <w:r w:rsidR="00014905" w:rsidRPr="0024052B">
        <w:rPr>
          <w:b/>
          <w:u w:val="single"/>
        </w:rPr>
        <w:t>5</w:t>
      </w:r>
      <w:r w:rsidR="00EE3D32" w:rsidRPr="0024052B">
        <w:rPr>
          <w:b/>
          <w:u w:val="single"/>
        </w:rPr>
        <w:t>:</w:t>
      </w:r>
      <w:r w:rsidR="00EE3D32" w:rsidRPr="0024052B">
        <w:rPr>
          <w:b/>
        </w:rPr>
        <w:t xml:space="preserve"> Proposizione di linee-guida </w:t>
      </w:r>
      <w:proofErr w:type="spellStart"/>
      <w:r w:rsidR="00EE3D32" w:rsidRPr="0024052B">
        <w:rPr>
          <w:b/>
          <w:i/>
        </w:rPr>
        <w:t>evidence</w:t>
      </w:r>
      <w:proofErr w:type="spellEnd"/>
      <w:r w:rsidR="00EE3D32" w:rsidRPr="0024052B">
        <w:rPr>
          <w:b/>
          <w:i/>
        </w:rPr>
        <w:t xml:space="preserve"> </w:t>
      </w:r>
      <w:proofErr w:type="spellStart"/>
      <w:r w:rsidR="00EE3D32" w:rsidRPr="0024052B">
        <w:rPr>
          <w:b/>
          <w:i/>
        </w:rPr>
        <w:t>based</w:t>
      </w:r>
      <w:proofErr w:type="spellEnd"/>
      <w:r w:rsidR="00EE3D32" w:rsidRPr="0024052B">
        <w:rPr>
          <w:b/>
        </w:rPr>
        <w:t xml:space="preserve"> per prevenzione dell’obesità infantile</w:t>
      </w:r>
    </w:p>
    <w:p w:rsidR="00014905" w:rsidRPr="00500544" w:rsidRDefault="00014905"/>
    <w:p w:rsidR="00EE3D32" w:rsidRPr="00500544" w:rsidRDefault="00EE3D32"/>
    <w:p w:rsidR="00EE3D32" w:rsidRPr="00500544" w:rsidRDefault="00EE3D32"/>
    <w:p w:rsidR="00EE3D32" w:rsidRPr="00500544" w:rsidRDefault="00EE3D32"/>
    <w:p w:rsidR="00EE3D32" w:rsidRPr="00EE3D32" w:rsidRDefault="00EE3D32">
      <w:pPr>
        <w:rPr>
          <w:b/>
          <w:sz w:val="28"/>
          <w:szCs w:val="20"/>
        </w:rPr>
      </w:pPr>
      <w:r w:rsidRPr="00EE3D32">
        <w:rPr>
          <w:b/>
          <w:sz w:val="28"/>
          <w:szCs w:val="20"/>
        </w:rPr>
        <w:lastRenderedPageBreak/>
        <w:t>GLI STRUMENTI</w:t>
      </w:r>
    </w:p>
    <w:p w:rsidR="00EE3D32" w:rsidRDefault="00CE1D2B">
      <w:r>
        <w:t>Da destra verso sinistra</w:t>
      </w:r>
      <w:r w:rsidR="007A1E3C">
        <w:t>,</w:t>
      </w:r>
      <w:r>
        <w:t xml:space="preserve"> nelle</w:t>
      </w:r>
      <w:r w:rsidR="00EE3D32" w:rsidRPr="00EE3D32">
        <w:t xml:space="preserve"> F</w:t>
      </w:r>
      <w:r>
        <w:t>igure</w:t>
      </w:r>
      <w:r w:rsidR="00EE3D32" w:rsidRPr="00EE3D32">
        <w:t xml:space="preserve"> 4</w:t>
      </w:r>
      <w:r>
        <w:t>-6</w:t>
      </w:r>
      <w:r w:rsidR="00EE3D32" w:rsidRPr="00EE3D32">
        <w:t xml:space="preserve">, sono illustrati </w:t>
      </w:r>
      <w:r w:rsidR="00EE3D32">
        <w:t>i</w:t>
      </w:r>
      <w:r w:rsidR="00EE3D32" w:rsidRPr="00EE3D32">
        <w:t xml:space="preserve"> principali strumenti </w:t>
      </w:r>
      <w:r w:rsidR="00EE3D32">
        <w:t>utilizzati nel progetto IDEFICS:</w:t>
      </w:r>
    </w:p>
    <w:p w:rsidR="00EE3D32" w:rsidRDefault="00EE3D32" w:rsidP="00EE3D32">
      <w:pPr>
        <w:pStyle w:val="Paragrafoelenco"/>
        <w:numPr>
          <w:ilvl w:val="0"/>
          <w:numId w:val="3"/>
        </w:numPr>
      </w:pPr>
      <w:r>
        <w:t>Questionario per i genitori: Anamnesi personale e familiare, indici demografici, stili di vita</w:t>
      </w:r>
    </w:p>
    <w:p w:rsidR="00EE3D32" w:rsidRDefault="00EE3D32" w:rsidP="00EE3D32">
      <w:pPr>
        <w:pStyle w:val="Paragrafoelenco"/>
        <w:numPr>
          <w:ilvl w:val="0"/>
          <w:numId w:val="3"/>
        </w:numPr>
      </w:pPr>
      <w:r>
        <w:t>Questionario di inchiesta alimentare (</w:t>
      </w:r>
      <w:proofErr w:type="spellStart"/>
      <w:r>
        <w:t>food-frequency</w:t>
      </w:r>
      <w:proofErr w:type="spellEnd"/>
      <w:r>
        <w:t>)</w:t>
      </w:r>
    </w:p>
    <w:p w:rsidR="00EE3D32" w:rsidRDefault="00EE3D32" w:rsidP="00EE3D32">
      <w:pPr>
        <w:pStyle w:val="Paragrafoelenco"/>
        <w:numPr>
          <w:ilvl w:val="0"/>
          <w:numId w:val="3"/>
        </w:numPr>
      </w:pPr>
      <w:r>
        <w:t>Accelerometro per la misurazione oggettiva dell’attività fisica del bambino</w:t>
      </w:r>
    </w:p>
    <w:p w:rsidR="00EE3D32" w:rsidRDefault="00EE3D32" w:rsidP="00EE3D32">
      <w:pPr>
        <w:pStyle w:val="Paragrafoelenco"/>
        <w:numPr>
          <w:ilvl w:val="0"/>
          <w:numId w:val="3"/>
        </w:numPr>
      </w:pPr>
      <w:r>
        <w:t xml:space="preserve">Calibro per la misurazione dello spessore delle </w:t>
      </w:r>
      <w:proofErr w:type="spellStart"/>
      <w:r>
        <w:t>pliche</w:t>
      </w:r>
      <w:proofErr w:type="spellEnd"/>
      <w:r>
        <w:t xml:space="preserve"> cutanee</w:t>
      </w:r>
    </w:p>
    <w:p w:rsidR="00EE3D32" w:rsidRDefault="00EE3D32" w:rsidP="00EE3D32">
      <w:pPr>
        <w:pStyle w:val="Paragrafoelenco"/>
        <w:numPr>
          <w:ilvl w:val="0"/>
          <w:numId w:val="3"/>
        </w:numPr>
      </w:pPr>
      <w:r>
        <w:t>Ecografo calcaneare per la misurazione della densità ossea</w:t>
      </w:r>
    </w:p>
    <w:p w:rsidR="00C03948" w:rsidRPr="00EE3D32" w:rsidRDefault="00C03948" w:rsidP="00C03948">
      <w:pPr>
        <w:pStyle w:val="Paragrafoelenco"/>
      </w:pPr>
    </w:p>
    <w:p w:rsidR="00014905" w:rsidRPr="00D84726" w:rsidRDefault="00266000" w:rsidP="00014905">
      <w:pPr>
        <w:spacing w:after="0"/>
        <w:jc w:val="center"/>
        <w:rPr>
          <w:sz w:val="12"/>
          <w:szCs w:val="12"/>
        </w:rPr>
      </w:pPr>
      <w:r w:rsidRPr="00266000">
        <w:pict>
          <v:group id="_x0000_s1029" editas="canvas" style="width:453.6pt;height:2in;mso-position-horizontal-relative:char;mso-position-vertical-relative:line" coordorigin="1418,88" coordsize="9072,28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418;top:88;width:9072;height:2880" o:preferrelative="f">
              <v:fill o:detectmouseclick="t"/>
              <v:path o:extrusionok="t" o:connecttype="none"/>
              <o:lock v:ext="edit" text="t"/>
            </v:shape>
            <v:shape id="_x0000_s1031" type="#_x0000_t75" style="position:absolute;left:6170;top:268;width:1080;height:951">
              <v:imagedata r:id="rId11" o:title=""/>
            </v:shape>
            <v:shape id="_x0000_s1032" type="#_x0000_t75" style="position:absolute;left:1603;top:88;width:2066;height:2880" o:bordertopcolor="this" o:borderleftcolor="this" o:borderbottomcolor="this" o:borderrightcolor="this" stroked="t">
              <v:imagedata r:id="rId12" o:title=""/>
            </v:shape>
            <v:shape id="_x0000_s1033" type="#_x0000_t75" style="position:absolute;left:3936;top:88;width:2054;height:2880" stroked="t">
              <v:imagedata r:id="rId13" o:title=""/>
            </v:shape>
            <v:shape id="_x0000_s1034" type="#_x0000_t75" style="position:absolute;left:7970;top:642;width:2520;height:2146" fillcolor="#bbe0e3">
              <v:imagedata r:id="rId14" o:title=""/>
              <v:shadow color="black" opacity="49151f" offset=".74833mm,.74833mm"/>
            </v:shape>
            <v:shape id="_x0000_s1035" type="#_x0000_t75" style="position:absolute;left:6185;top:1528;width:1605;height:1339">
              <v:imagedata r:id="rId15" o:title="" cropbottom="3982f"/>
            </v:shape>
            <w10:wrap type="none"/>
            <w10:anchorlock/>
          </v:group>
        </w:pict>
      </w:r>
    </w:p>
    <w:p w:rsidR="00014905" w:rsidRPr="00500544" w:rsidRDefault="00CE1D2B" w:rsidP="00014905">
      <w:pPr>
        <w:jc w:val="center"/>
        <w:rPr>
          <w:b/>
          <w:sz w:val="20"/>
          <w:szCs w:val="20"/>
        </w:rPr>
      </w:pPr>
      <w:r w:rsidRPr="00500544">
        <w:rPr>
          <w:b/>
          <w:sz w:val="20"/>
          <w:szCs w:val="20"/>
        </w:rPr>
        <w:t>Figura 4</w:t>
      </w:r>
    </w:p>
    <w:p w:rsidR="00014905" w:rsidRPr="00500544" w:rsidRDefault="00014905"/>
    <w:p w:rsidR="00CE1D2B" w:rsidRDefault="00C03948">
      <w:r w:rsidRPr="00C03948">
        <w:t xml:space="preserve">In Figura 5 sono illustrate le modalità di rilievo degli indici antropometrici, </w:t>
      </w:r>
      <w:r>
        <w:t xml:space="preserve">e più precisamente, da destra verso sinistra, </w:t>
      </w:r>
      <w:r w:rsidRPr="00C03948">
        <w:t xml:space="preserve"> </w:t>
      </w:r>
      <w:r>
        <w:t>circonferenza del collo, statura e circonferenza del braccio.</w:t>
      </w:r>
    </w:p>
    <w:p w:rsidR="00C03948" w:rsidRPr="00C03948" w:rsidRDefault="00C03948"/>
    <w:p w:rsidR="00014905" w:rsidRPr="00D84726" w:rsidRDefault="00014905" w:rsidP="00014905">
      <w:pPr>
        <w:keepNext/>
        <w:spacing w:after="0"/>
        <w:jc w:val="center"/>
      </w:pPr>
      <w:r>
        <w:rPr>
          <w:noProof/>
          <w:lang w:eastAsia="it-IT"/>
        </w:rPr>
        <w:drawing>
          <wp:inline distT="0" distB="0" distL="0" distR="0">
            <wp:extent cx="1874520" cy="1431925"/>
            <wp:effectExtent l="19050" t="0" r="0" b="0"/>
            <wp:docPr id="19" name="Immagine 19" descr="x neck circum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 neck circumference"/>
                    <pic:cNvPicPr>
                      <a:picLocks noChangeAspect="1" noChangeArrowheads="1"/>
                    </pic:cNvPicPr>
                  </pic:nvPicPr>
                  <pic:blipFill>
                    <a:blip r:embed="rId16" cstate="print"/>
                    <a:srcRect l="21111" t="20747" r="1111"/>
                    <a:stretch>
                      <a:fillRect/>
                    </a:stretch>
                  </pic:blipFill>
                  <pic:spPr bwMode="auto">
                    <a:xfrm>
                      <a:off x="0" y="0"/>
                      <a:ext cx="1874520" cy="1431925"/>
                    </a:xfrm>
                    <a:prstGeom prst="rect">
                      <a:avLst/>
                    </a:prstGeom>
                    <a:noFill/>
                    <a:ln w="9525">
                      <a:noFill/>
                      <a:miter lim="800000"/>
                      <a:headEnd/>
                      <a:tailEnd/>
                    </a:ln>
                    <a:effectLst/>
                  </pic:spPr>
                </pic:pic>
              </a:graphicData>
            </a:graphic>
          </wp:inline>
        </w:drawing>
      </w:r>
      <w:r>
        <w:rPr>
          <w:noProof/>
          <w:lang w:eastAsia="it-IT"/>
        </w:rPr>
        <w:drawing>
          <wp:inline distT="0" distB="0" distL="0" distR="0">
            <wp:extent cx="1777365" cy="2377440"/>
            <wp:effectExtent l="19050" t="0" r="0" b="0"/>
            <wp:docPr id="16" name="Immagine 16" descr="Stadi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diometer"/>
                    <pic:cNvPicPr>
                      <a:picLocks noChangeAspect="1" noChangeArrowheads="1"/>
                    </pic:cNvPicPr>
                  </pic:nvPicPr>
                  <pic:blipFill>
                    <a:blip r:embed="rId17" cstate="print"/>
                    <a:srcRect l="40158" r="3740"/>
                    <a:stretch>
                      <a:fillRect/>
                    </a:stretch>
                  </pic:blipFill>
                  <pic:spPr bwMode="auto">
                    <a:xfrm>
                      <a:off x="0" y="0"/>
                      <a:ext cx="1777365" cy="2377440"/>
                    </a:xfrm>
                    <a:prstGeom prst="rect">
                      <a:avLst/>
                    </a:prstGeom>
                    <a:noFill/>
                    <a:ln w="9525">
                      <a:noFill/>
                      <a:miter lim="800000"/>
                      <a:headEnd/>
                      <a:tailEnd/>
                    </a:ln>
                  </pic:spPr>
                </pic:pic>
              </a:graphicData>
            </a:graphic>
          </wp:inline>
        </w:drawing>
      </w:r>
      <w:r>
        <w:rPr>
          <w:noProof/>
          <w:lang w:eastAsia="it-IT"/>
        </w:rPr>
        <w:drawing>
          <wp:inline distT="0" distB="0" distL="0" distR="0">
            <wp:extent cx="1841500" cy="1381760"/>
            <wp:effectExtent l="19050" t="0" r="6350" b="0"/>
            <wp:docPr id="18" name="Immagine 18" descr="WHV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V0010"/>
                    <pic:cNvPicPr>
                      <a:picLocks noChangeAspect="1" noChangeArrowheads="1"/>
                    </pic:cNvPicPr>
                  </pic:nvPicPr>
                  <pic:blipFill>
                    <a:blip r:embed="rId18" cstate="print"/>
                    <a:srcRect/>
                    <a:stretch>
                      <a:fillRect/>
                    </a:stretch>
                  </pic:blipFill>
                  <pic:spPr bwMode="auto">
                    <a:xfrm>
                      <a:off x="0" y="0"/>
                      <a:ext cx="1841500" cy="1381760"/>
                    </a:xfrm>
                    <a:prstGeom prst="rect">
                      <a:avLst/>
                    </a:prstGeom>
                    <a:noFill/>
                    <a:ln w="9525">
                      <a:noFill/>
                      <a:miter lim="800000"/>
                      <a:headEnd/>
                      <a:tailEnd/>
                    </a:ln>
                    <a:effectLst/>
                  </pic:spPr>
                </pic:pic>
              </a:graphicData>
            </a:graphic>
          </wp:inline>
        </w:drawing>
      </w:r>
    </w:p>
    <w:p w:rsidR="00014905" w:rsidRPr="00014905" w:rsidRDefault="00014905" w:rsidP="00014905">
      <w:pPr>
        <w:jc w:val="center"/>
        <w:rPr>
          <w:b/>
          <w:sz w:val="20"/>
          <w:szCs w:val="20"/>
          <w:lang w:val="en-US"/>
        </w:rPr>
      </w:pPr>
      <w:proofErr w:type="spellStart"/>
      <w:r w:rsidRPr="00014905">
        <w:rPr>
          <w:b/>
          <w:sz w:val="20"/>
          <w:szCs w:val="20"/>
          <w:lang w:val="en-US"/>
        </w:rPr>
        <w:t>Figur</w:t>
      </w:r>
      <w:r w:rsidR="00C03948">
        <w:rPr>
          <w:b/>
          <w:sz w:val="20"/>
          <w:szCs w:val="20"/>
          <w:lang w:val="en-US"/>
        </w:rPr>
        <w:t>a</w:t>
      </w:r>
      <w:proofErr w:type="spellEnd"/>
      <w:r w:rsidRPr="00014905">
        <w:rPr>
          <w:b/>
          <w:sz w:val="20"/>
          <w:szCs w:val="20"/>
          <w:lang w:val="en-US"/>
        </w:rPr>
        <w:t xml:space="preserve"> </w:t>
      </w:r>
      <w:r w:rsidR="00C03948">
        <w:rPr>
          <w:b/>
          <w:sz w:val="20"/>
          <w:szCs w:val="20"/>
          <w:lang w:val="en-US"/>
        </w:rPr>
        <w:t>5</w:t>
      </w:r>
      <w:r w:rsidRPr="00014905">
        <w:rPr>
          <w:b/>
          <w:sz w:val="20"/>
          <w:szCs w:val="20"/>
          <w:lang w:val="en-US"/>
        </w:rPr>
        <w:t xml:space="preserve">: </w:t>
      </w:r>
      <w:proofErr w:type="spellStart"/>
      <w:r w:rsidR="00C03948">
        <w:rPr>
          <w:b/>
          <w:sz w:val="20"/>
          <w:szCs w:val="20"/>
          <w:lang w:val="en-US"/>
        </w:rPr>
        <w:t>Misure</w:t>
      </w:r>
      <w:proofErr w:type="spellEnd"/>
      <w:r w:rsidR="00C03948">
        <w:rPr>
          <w:b/>
          <w:sz w:val="20"/>
          <w:szCs w:val="20"/>
          <w:lang w:val="en-US"/>
        </w:rPr>
        <w:t xml:space="preserve"> </w:t>
      </w:r>
      <w:proofErr w:type="spellStart"/>
      <w:r w:rsidR="00C03948">
        <w:rPr>
          <w:b/>
          <w:sz w:val="20"/>
          <w:szCs w:val="20"/>
          <w:lang w:val="en-US"/>
        </w:rPr>
        <w:t>antropometriche</w:t>
      </w:r>
      <w:proofErr w:type="spellEnd"/>
    </w:p>
    <w:p w:rsidR="00014905" w:rsidRPr="00014905" w:rsidRDefault="00014905" w:rsidP="00014905">
      <w:pPr>
        <w:rPr>
          <w:lang w:val="en-US"/>
        </w:rPr>
      </w:pPr>
    </w:p>
    <w:p w:rsidR="00014905" w:rsidRPr="00D84726" w:rsidRDefault="00014905" w:rsidP="00014905">
      <w:pPr>
        <w:keepNext/>
        <w:spacing w:after="0"/>
      </w:pPr>
      <w:r>
        <w:rPr>
          <w:noProof/>
          <w:lang w:eastAsia="it-IT"/>
        </w:rPr>
        <w:lastRenderedPageBreak/>
        <w:drawing>
          <wp:inline distT="0" distB="0" distL="0" distR="0">
            <wp:extent cx="1863090" cy="1623695"/>
            <wp:effectExtent l="19050" t="0" r="3810" b="0"/>
            <wp:docPr id="17" name="Immagine 17" descr="WHV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V0039"/>
                    <pic:cNvPicPr>
                      <a:picLocks noChangeAspect="1" noChangeArrowheads="1"/>
                    </pic:cNvPicPr>
                  </pic:nvPicPr>
                  <pic:blipFill>
                    <a:blip r:embed="rId19" cstate="print"/>
                    <a:srcRect l="11765" t="5536" r="17647" b="12457"/>
                    <a:stretch>
                      <a:fillRect/>
                    </a:stretch>
                  </pic:blipFill>
                  <pic:spPr bwMode="auto">
                    <a:xfrm>
                      <a:off x="0" y="0"/>
                      <a:ext cx="1863090" cy="1623695"/>
                    </a:xfrm>
                    <a:prstGeom prst="rect">
                      <a:avLst/>
                    </a:prstGeom>
                    <a:noFill/>
                    <a:ln w="9525">
                      <a:noFill/>
                      <a:miter lim="800000"/>
                      <a:headEnd/>
                      <a:tailEnd/>
                    </a:ln>
                  </pic:spPr>
                </pic:pic>
              </a:graphicData>
            </a:graphic>
          </wp:inline>
        </w:drawing>
      </w:r>
      <w:r>
        <w:rPr>
          <w:noProof/>
          <w:lang w:eastAsia="it-IT"/>
        </w:rPr>
        <w:drawing>
          <wp:inline distT="0" distB="0" distL="0" distR="0">
            <wp:extent cx="1402715" cy="1871980"/>
            <wp:effectExtent l="19050" t="0" r="6985" b="0"/>
            <wp:docPr id="6" name="Immagine 16" descr="1Paul acce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Paul accelero"/>
                    <pic:cNvPicPr>
                      <a:picLocks noChangeAspect="1" noChangeArrowheads="1"/>
                    </pic:cNvPicPr>
                  </pic:nvPicPr>
                  <pic:blipFill>
                    <a:blip r:embed="rId20" cstate="print"/>
                    <a:srcRect/>
                    <a:stretch>
                      <a:fillRect/>
                    </a:stretch>
                  </pic:blipFill>
                  <pic:spPr bwMode="auto">
                    <a:xfrm>
                      <a:off x="0" y="0"/>
                      <a:ext cx="1402715" cy="1871980"/>
                    </a:xfrm>
                    <a:prstGeom prst="rect">
                      <a:avLst/>
                    </a:prstGeom>
                    <a:noFill/>
                    <a:ln w="9525">
                      <a:noFill/>
                      <a:miter lim="800000"/>
                      <a:headEnd/>
                      <a:tailEnd/>
                    </a:ln>
                  </pic:spPr>
                </pic:pic>
              </a:graphicData>
            </a:graphic>
          </wp:inline>
        </w:drawing>
      </w:r>
      <w:r>
        <w:rPr>
          <w:noProof/>
          <w:lang w:eastAsia="it-IT"/>
        </w:rPr>
        <w:drawing>
          <wp:inline distT="0" distB="0" distL="0" distR="0">
            <wp:extent cx="1871980" cy="1403985"/>
            <wp:effectExtent l="19050" t="0" r="0" b="0"/>
            <wp:docPr id="15" name="Immagine 15" descr="WHV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V0028"/>
                    <pic:cNvPicPr>
                      <a:picLocks noChangeAspect="1" noChangeArrowheads="1"/>
                    </pic:cNvPicPr>
                  </pic:nvPicPr>
                  <pic:blipFill>
                    <a:blip r:embed="rId21" cstate="print"/>
                    <a:srcRect/>
                    <a:stretch>
                      <a:fillRect/>
                    </a:stretch>
                  </pic:blipFill>
                  <pic:spPr bwMode="auto">
                    <a:xfrm>
                      <a:off x="0" y="0"/>
                      <a:ext cx="1871980" cy="1403985"/>
                    </a:xfrm>
                    <a:prstGeom prst="rect">
                      <a:avLst/>
                    </a:prstGeom>
                    <a:noFill/>
                    <a:ln w="9525">
                      <a:noFill/>
                      <a:miter lim="800000"/>
                      <a:headEnd/>
                      <a:tailEnd/>
                    </a:ln>
                    <a:effectLst/>
                  </pic:spPr>
                </pic:pic>
              </a:graphicData>
            </a:graphic>
          </wp:inline>
        </w:drawing>
      </w:r>
    </w:p>
    <w:p w:rsidR="00014905" w:rsidRPr="00BA36F5" w:rsidRDefault="00C03948" w:rsidP="00014905">
      <w:pPr>
        <w:jc w:val="center"/>
        <w:rPr>
          <w:b/>
          <w:sz w:val="20"/>
          <w:szCs w:val="20"/>
        </w:rPr>
      </w:pPr>
      <w:r w:rsidRPr="00BA36F5">
        <w:rPr>
          <w:b/>
          <w:sz w:val="20"/>
          <w:szCs w:val="20"/>
        </w:rPr>
        <w:t>Figura</w:t>
      </w:r>
      <w:r w:rsidR="00014905" w:rsidRPr="00BA36F5">
        <w:rPr>
          <w:b/>
          <w:sz w:val="20"/>
          <w:szCs w:val="20"/>
        </w:rPr>
        <w:t xml:space="preserve"> </w:t>
      </w:r>
      <w:r w:rsidRPr="00BA36F5">
        <w:rPr>
          <w:b/>
          <w:sz w:val="20"/>
          <w:szCs w:val="20"/>
        </w:rPr>
        <w:t>6</w:t>
      </w:r>
    </w:p>
    <w:p w:rsidR="00014905" w:rsidRPr="00BA36F5" w:rsidRDefault="00014905" w:rsidP="00014905"/>
    <w:p w:rsidR="00C03948" w:rsidRDefault="00C03948" w:rsidP="00500544">
      <w:pPr>
        <w:jc w:val="both"/>
      </w:pPr>
      <w:r w:rsidRPr="00C03948">
        <w:t>La pressione arteriosa è stata misurata second</w:t>
      </w:r>
      <w:r w:rsidR="000D7D72">
        <w:t>o</w:t>
      </w:r>
      <w:r w:rsidRPr="00C03948">
        <w:t xml:space="preserve"> una procedura standardizzata mediante misuratore </w:t>
      </w:r>
      <w:proofErr w:type="spellStart"/>
      <w:r w:rsidRPr="00C03948">
        <w:t>automatic</w:t>
      </w:r>
      <w:r w:rsidR="007A1E3C">
        <w:t>O</w:t>
      </w:r>
      <w:proofErr w:type="spellEnd"/>
      <w:r w:rsidRPr="00C03948">
        <w:t xml:space="preserve"> (Figura 6). </w:t>
      </w:r>
      <w:r>
        <w:t>Al centro della Figura 6 sono illustrate le modalità di applicazione dell’accelerometro e sulla sinistra la misurazione della densità ossea mediante ecografo calcaneare.</w:t>
      </w:r>
    </w:p>
    <w:p w:rsidR="00500544" w:rsidRPr="00C03948" w:rsidRDefault="00500544" w:rsidP="00500544">
      <w:pPr>
        <w:jc w:val="both"/>
      </w:pPr>
      <w:r>
        <w:t xml:space="preserve">Particolare attenzione è stata dedicata, nel corso dello studio IDEFICS, all’analisi del livello di attività fisica dei bambini. Oltre alla misurazione oggettiva mediante accelerometro –il campione IDEFICS è uno dei più numerosi in cui tale tecnica sia stata utilizzata- è stato valutato anche il grado di fitness sportiva mediante alcuni test della batteria </w:t>
      </w:r>
      <w:proofErr w:type="spellStart"/>
      <w:r w:rsidRPr="0024052B">
        <w:rPr>
          <w:i/>
        </w:rPr>
        <w:t>EuroF</w:t>
      </w:r>
      <w:r w:rsidR="0024052B" w:rsidRPr="0024052B">
        <w:rPr>
          <w:i/>
        </w:rPr>
        <w:t>it</w:t>
      </w:r>
      <w:proofErr w:type="spellEnd"/>
      <w:r>
        <w:t xml:space="preserve"> (Figura 7, da sinistra verso destra: 40 m sprint, flessibilità, test del fenicottero). </w:t>
      </w:r>
    </w:p>
    <w:p w:rsidR="00014905" w:rsidRPr="00D84726" w:rsidRDefault="00014905" w:rsidP="00014905">
      <w:pPr>
        <w:keepNext/>
        <w:spacing w:after="0"/>
      </w:pPr>
      <w:r>
        <w:rPr>
          <w:noProof/>
          <w:lang w:eastAsia="it-IT"/>
        </w:rPr>
        <w:drawing>
          <wp:inline distT="0" distB="0" distL="0" distR="0">
            <wp:extent cx="1871980" cy="2607310"/>
            <wp:effectExtent l="19050" t="0" r="0" b="0"/>
            <wp:docPr id="12" name="Immagine 12" desc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rint"/>
                    <pic:cNvPicPr>
                      <a:picLocks noChangeAspect="1" noChangeArrowheads="1"/>
                    </pic:cNvPicPr>
                  </pic:nvPicPr>
                  <pic:blipFill>
                    <a:blip r:embed="rId22" cstate="print"/>
                    <a:srcRect l="36659" t="8887" r="16664" b="4443"/>
                    <a:stretch>
                      <a:fillRect/>
                    </a:stretch>
                  </pic:blipFill>
                  <pic:spPr bwMode="auto">
                    <a:xfrm>
                      <a:off x="0" y="0"/>
                      <a:ext cx="1871980" cy="2607310"/>
                    </a:xfrm>
                    <a:prstGeom prst="rect">
                      <a:avLst/>
                    </a:prstGeom>
                    <a:noFill/>
                    <a:ln w="9525">
                      <a:noFill/>
                      <a:miter lim="800000"/>
                      <a:headEnd/>
                      <a:tailEnd/>
                    </a:ln>
                    <a:effectLst/>
                  </pic:spPr>
                </pic:pic>
              </a:graphicData>
            </a:graphic>
          </wp:inline>
        </w:drawing>
      </w:r>
      <w:r>
        <w:rPr>
          <w:noProof/>
          <w:lang w:eastAsia="it-IT"/>
        </w:rPr>
        <w:drawing>
          <wp:inline distT="0" distB="0" distL="0" distR="0">
            <wp:extent cx="1871980" cy="1489075"/>
            <wp:effectExtent l="19050" t="0" r="0" b="0"/>
            <wp:docPr id="14" name="Immagine 14" descr="sit&amp;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t&amp;reach"/>
                    <pic:cNvPicPr>
                      <a:picLocks noChangeAspect="1" noChangeArrowheads="1"/>
                    </pic:cNvPicPr>
                  </pic:nvPicPr>
                  <pic:blipFill>
                    <a:blip r:embed="rId23" cstate="print"/>
                    <a:srcRect l="13330" t="17775" r="13330" b="4443"/>
                    <a:stretch>
                      <a:fillRect/>
                    </a:stretch>
                  </pic:blipFill>
                  <pic:spPr bwMode="auto">
                    <a:xfrm>
                      <a:off x="0" y="0"/>
                      <a:ext cx="1871980" cy="1489075"/>
                    </a:xfrm>
                    <a:prstGeom prst="rect">
                      <a:avLst/>
                    </a:prstGeom>
                    <a:noFill/>
                    <a:ln w="9525">
                      <a:noFill/>
                      <a:miter lim="800000"/>
                      <a:headEnd/>
                      <a:tailEnd/>
                    </a:ln>
                    <a:effectLst/>
                  </pic:spPr>
                </pic:pic>
              </a:graphicData>
            </a:graphic>
          </wp:inline>
        </w:drawing>
      </w:r>
      <w:r>
        <w:rPr>
          <w:noProof/>
          <w:lang w:eastAsia="it-IT"/>
        </w:rPr>
        <w:drawing>
          <wp:inline distT="0" distB="0" distL="0" distR="0">
            <wp:extent cx="1871980" cy="2106295"/>
            <wp:effectExtent l="19050" t="0" r="0" b="0"/>
            <wp:docPr id="13" name="Immagine 13" descr="flam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mingo"/>
                    <pic:cNvPicPr>
                      <a:picLocks noChangeAspect="1" noChangeArrowheads="1"/>
                    </pic:cNvPicPr>
                  </pic:nvPicPr>
                  <pic:blipFill>
                    <a:blip r:embed="rId24" cstate="print"/>
                    <a:srcRect l="13330" r="19997"/>
                    <a:stretch>
                      <a:fillRect/>
                    </a:stretch>
                  </pic:blipFill>
                  <pic:spPr bwMode="auto">
                    <a:xfrm>
                      <a:off x="0" y="0"/>
                      <a:ext cx="1871980" cy="2106295"/>
                    </a:xfrm>
                    <a:prstGeom prst="rect">
                      <a:avLst/>
                    </a:prstGeom>
                    <a:noFill/>
                    <a:ln w="9525">
                      <a:noFill/>
                      <a:miter lim="800000"/>
                      <a:headEnd/>
                      <a:tailEnd/>
                    </a:ln>
                    <a:effectLst/>
                  </pic:spPr>
                </pic:pic>
              </a:graphicData>
            </a:graphic>
          </wp:inline>
        </w:drawing>
      </w:r>
    </w:p>
    <w:p w:rsidR="00014905" w:rsidRPr="00BA36F5" w:rsidRDefault="00014905" w:rsidP="00014905">
      <w:pPr>
        <w:jc w:val="center"/>
        <w:rPr>
          <w:b/>
          <w:sz w:val="20"/>
          <w:szCs w:val="20"/>
        </w:rPr>
      </w:pPr>
      <w:r w:rsidRPr="00BA36F5">
        <w:rPr>
          <w:b/>
          <w:sz w:val="20"/>
          <w:szCs w:val="20"/>
        </w:rPr>
        <w:t>Figur</w:t>
      </w:r>
      <w:r w:rsidR="00C03948" w:rsidRPr="00BA36F5">
        <w:rPr>
          <w:b/>
          <w:sz w:val="20"/>
          <w:szCs w:val="20"/>
        </w:rPr>
        <w:t>a</w:t>
      </w:r>
      <w:r w:rsidRPr="00BA36F5">
        <w:rPr>
          <w:b/>
          <w:sz w:val="20"/>
          <w:szCs w:val="20"/>
        </w:rPr>
        <w:t xml:space="preserve"> </w:t>
      </w:r>
      <w:r w:rsidR="00C03948" w:rsidRPr="00BA36F5">
        <w:rPr>
          <w:b/>
          <w:sz w:val="20"/>
          <w:szCs w:val="20"/>
        </w:rPr>
        <w:t>7</w:t>
      </w:r>
    </w:p>
    <w:p w:rsidR="00014905" w:rsidRPr="00BA36F5" w:rsidRDefault="00014905"/>
    <w:p w:rsidR="00014905" w:rsidRPr="00BA36F5" w:rsidRDefault="00014905"/>
    <w:p w:rsidR="00500544" w:rsidRPr="00BA36F5" w:rsidRDefault="00500544" w:rsidP="00014905">
      <w:pPr>
        <w:spacing w:before="120" w:after="0" w:line="288" w:lineRule="auto"/>
        <w:jc w:val="center"/>
        <w:rPr>
          <w:rFonts w:ascii="Times New Roman" w:eastAsia="Times New Roman" w:hAnsi="Times New Roman" w:cs="Times New Roman"/>
          <w:b/>
          <w:bCs/>
          <w:sz w:val="20"/>
          <w:szCs w:val="20"/>
          <w:lang w:eastAsia="nl-NL"/>
        </w:rPr>
      </w:pPr>
    </w:p>
    <w:p w:rsidR="00500544" w:rsidRPr="00BA36F5" w:rsidRDefault="00500544" w:rsidP="00014905">
      <w:pPr>
        <w:spacing w:before="120" w:after="0" w:line="288" w:lineRule="auto"/>
        <w:jc w:val="center"/>
        <w:rPr>
          <w:rFonts w:ascii="Times New Roman" w:eastAsia="Times New Roman" w:hAnsi="Times New Roman" w:cs="Times New Roman"/>
          <w:b/>
          <w:bCs/>
          <w:sz w:val="20"/>
          <w:szCs w:val="20"/>
          <w:lang w:eastAsia="nl-NL"/>
        </w:rPr>
      </w:pPr>
    </w:p>
    <w:p w:rsidR="00500544" w:rsidRPr="00BA36F5" w:rsidRDefault="00500544" w:rsidP="00014905">
      <w:pPr>
        <w:spacing w:before="120" w:after="0" w:line="288" w:lineRule="auto"/>
        <w:jc w:val="center"/>
        <w:rPr>
          <w:rFonts w:ascii="Times New Roman" w:eastAsia="Times New Roman" w:hAnsi="Times New Roman" w:cs="Times New Roman"/>
          <w:b/>
          <w:bCs/>
          <w:sz w:val="20"/>
          <w:szCs w:val="20"/>
          <w:lang w:eastAsia="nl-NL"/>
        </w:rPr>
      </w:pPr>
    </w:p>
    <w:p w:rsidR="00500544" w:rsidRPr="00BA36F5" w:rsidRDefault="00500544" w:rsidP="00014905">
      <w:pPr>
        <w:spacing w:before="120" w:after="0" w:line="288" w:lineRule="auto"/>
        <w:jc w:val="center"/>
        <w:rPr>
          <w:rFonts w:ascii="Times New Roman" w:eastAsia="Times New Roman" w:hAnsi="Times New Roman" w:cs="Times New Roman"/>
          <w:b/>
          <w:bCs/>
          <w:sz w:val="20"/>
          <w:szCs w:val="20"/>
          <w:lang w:eastAsia="nl-NL"/>
        </w:rPr>
      </w:pPr>
    </w:p>
    <w:p w:rsidR="00500544" w:rsidRPr="00BA36F5" w:rsidRDefault="00500544" w:rsidP="00014905">
      <w:pPr>
        <w:spacing w:before="120" w:after="0" w:line="288" w:lineRule="auto"/>
        <w:jc w:val="center"/>
        <w:rPr>
          <w:rFonts w:ascii="Times New Roman" w:eastAsia="Times New Roman" w:hAnsi="Times New Roman" w:cs="Times New Roman"/>
          <w:b/>
          <w:bCs/>
          <w:sz w:val="20"/>
          <w:szCs w:val="20"/>
          <w:lang w:eastAsia="nl-NL"/>
        </w:rPr>
      </w:pPr>
    </w:p>
    <w:p w:rsidR="00500544" w:rsidRPr="00D83E99" w:rsidRDefault="00D83E99" w:rsidP="00500544">
      <w:pPr>
        <w:rPr>
          <w:b/>
          <w:caps/>
          <w:sz w:val="28"/>
          <w:szCs w:val="20"/>
        </w:rPr>
      </w:pPr>
      <w:r w:rsidRPr="00D83E99">
        <w:rPr>
          <w:b/>
          <w:caps/>
          <w:sz w:val="28"/>
          <w:szCs w:val="20"/>
        </w:rPr>
        <w:t>Il campione</w:t>
      </w:r>
    </w:p>
    <w:p w:rsidR="00500544" w:rsidRDefault="00D83E99" w:rsidP="00500544">
      <w:r>
        <w:t xml:space="preserve">La tabella illustra la composizione del campione di bambini in età scolare partecipanti al basale al </w:t>
      </w:r>
      <w:r w:rsidR="00500544">
        <w:t>progetto IDEFICS:</w:t>
      </w:r>
      <w:r>
        <w:t xml:space="preserve"> i dati sono riportati per ciascun paese partecipante e suddivisi in base all’intervento “intensivo” o “standard”</w:t>
      </w:r>
    </w:p>
    <w:p w:rsidR="00500544" w:rsidRPr="00500544" w:rsidRDefault="00500544" w:rsidP="00014905">
      <w:pPr>
        <w:spacing w:before="120" w:after="0" w:line="288" w:lineRule="auto"/>
        <w:jc w:val="center"/>
        <w:rPr>
          <w:rFonts w:ascii="Times New Roman" w:eastAsia="Times New Roman" w:hAnsi="Times New Roman" w:cs="Times New Roman"/>
          <w:b/>
          <w:bCs/>
          <w:sz w:val="20"/>
          <w:szCs w:val="20"/>
          <w:lang w:eastAsia="nl-NL"/>
        </w:rPr>
      </w:pPr>
    </w:p>
    <w:p w:rsidR="00014905" w:rsidRPr="00014905" w:rsidRDefault="00D83E99" w:rsidP="00014905">
      <w:pPr>
        <w:spacing w:before="120" w:after="0" w:line="288" w:lineRule="auto"/>
        <w:jc w:val="center"/>
        <w:rPr>
          <w:rFonts w:ascii="Times New Roman" w:eastAsia="Times New Roman" w:hAnsi="Times New Roman" w:cs="Times New Roman"/>
          <w:b/>
          <w:bCs/>
          <w:sz w:val="20"/>
          <w:szCs w:val="20"/>
          <w:lang w:val="en-GB" w:eastAsia="nl-NL"/>
        </w:rPr>
      </w:pPr>
      <w:proofErr w:type="spellStart"/>
      <w:r>
        <w:rPr>
          <w:rFonts w:ascii="Times New Roman" w:eastAsia="Times New Roman" w:hAnsi="Times New Roman" w:cs="Times New Roman"/>
          <w:b/>
          <w:bCs/>
          <w:sz w:val="20"/>
          <w:szCs w:val="20"/>
          <w:lang w:val="en-GB" w:eastAsia="nl-NL"/>
        </w:rPr>
        <w:t>Tabella</w:t>
      </w:r>
      <w:proofErr w:type="spellEnd"/>
      <w:r w:rsidR="00014905" w:rsidRPr="00014905">
        <w:rPr>
          <w:rFonts w:ascii="Times New Roman" w:eastAsia="Times New Roman" w:hAnsi="Times New Roman" w:cs="Times New Roman"/>
          <w:b/>
          <w:bCs/>
          <w:sz w:val="20"/>
          <w:szCs w:val="20"/>
          <w:lang w:val="en-GB" w:eastAsia="nl-NL"/>
        </w:rPr>
        <w:t xml:space="preserve"> 1</w:t>
      </w:r>
    </w:p>
    <w:tbl>
      <w:tblPr>
        <w:tblW w:w="729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1342"/>
        <w:gridCol w:w="1843"/>
        <w:gridCol w:w="2126"/>
        <w:gridCol w:w="1984"/>
      </w:tblGrid>
      <w:tr w:rsidR="00014905" w:rsidRPr="00014905" w:rsidTr="00EF70CB">
        <w:trPr>
          <w:tblCellSpacing w:w="20" w:type="dxa"/>
          <w:jc w:val="center"/>
        </w:trPr>
        <w:tc>
          <w:tcPr>
            <w:tcW w:w="1282" w:type="dxa"/>
            <w:shd w:val="clear" w:color="auto" w:fill="auto"/>
            <w:vAlign w:val="center"/>
          </w:tcPr>
          <w:p w:rsidR="00014905" w:rsidRPr="00014905" w:rsidRDefault="00014905" w:rsidP="00014905">
            <w:pPr>
              <w:keepNext/>
              <w:spacing w:before="100" w:beforeAutospacing="1" w:after="100" w:afterAutospacing="1" w:line="288" w:lineRule="auto"/>
              <w:jc w:val="both"/>
              <w:rPr>
                <w:rFonts w:ascii="Times New Roman" w:eastAsia="Times New Roman" w:hAnsi="Times New Roman" w:cs="Arial"/>
                <w:b/>
                <w:sz w:val="20"/>
                <w:szCs w:val="20"/>
                <w:lang w:val="en-GB" w:eastAsia="it-IT"/>
              </w:rPr>
            </w:pPr>
            <w:r w:rsidRPr="00014905">
              <w:rPr>
                <w:rFonts w:ascii="Times New Roman" w:eastAsia="Times New Roman" w:hAnsi="Times New Roman" w:cs="Arial"/>
                <w:b/>
                <w:sz w:val="20"/>
                <w:szCs w:val="20"/>
                <w:lang w:val="en-GB" w:eastAsia="it-IT"/>
              </w:rPr>
              <w:t>Country</w:t>
            </w:r>
          </w:p>
        </w:tc>
        <w:tc>
          <w:tcPr>
            <w:tcW w:w="1803" w:type="dxa"/>
            <w:shd w:val="clear" w:color="auto" w:fill="auto"/>
            <w:vAlign w:val="center"/>
          </w:tcPr>
          <w:p w:rsidR="00014905" w:rsidRPr="00014905" w:rsidRDefault="00500544" w:rsidP="00014905">
            <w:pPr>
              <w:keepNext/>
              <w:spacing w:before="100" w:beforeAutospacing="1" w:after="100" w:afterAutospacing="1" w:line="288" w:lineRule="auto"/>
              <w:jc w:val="center"/>
              <w:rPr>
                <w:rFonts w:ascii="Times New Roman" w:eastAsia="Times New Roman" w:hAnsi="Times New Roman" w:cs="Arial"/>
                <w:sz w:val="20"/>
                <w:szCs w:val="20"/>
                <w:vertAlign w:val="superscript"/>
                <w:lang w:val="en-GB" w:eastAsia="it-IT"/>
              </w:rPr>
            </w:pPr>
            <w:r>
              <w:rPr>
                <w:rFonts w:ascii="Times New Roman" w:eastAsia="Times New Roman" w:hAnsi="Times New Roman" w:cs="Arial"/>
                <w:b/>
                <w:sz w:val="20"/>
                <w:szCs w:val="20"/>
                <w:lang w:val="en-GB" w:eastAsia="it-IT"/>
              </w:rPr>
              <w:t>Intensive care</w:t>
            </w:r>
          </w:p>
        </w:tc>
        <w:tc>
          <w:tcPr>
            <w:tcW w:w="2086" w:type="dxa"/>
            <w:shd w:val="clear" w:color="auto" w:fill="auto"/>
            <w:vAlign w:val="center"/>
          </w:tcPr>
          <w:p w:rsidR="00014905" w:rsidRPr="00014905" w:rsidRDefault="00500544" w:rsidP="00014905">
            <w:pPr>
              <w:keepNext/>
              <w:spacing w:before="100" w:beforeAutospacing="1" w:after="100" w:afterAutospacing="1" w:line="288" w:lineRule="auto"/>
              <w:jc w:val="center"/>
              <w:rPr>
                <w:rFonts w:ascii="Times New Roman" w:eastAsia="Times New Roman" w:hAnsi="Times New Roman" w:cs="Arial"/>
                <w:b/>
                <w:sz w:val="20"/>
                <w:szCs w:val="20"/>
                <w:lang w:val="en-GB" w:eastAsia="it-IT"/>
              </w:rPr>
            </w:pPr>
            <w:r>
              <w:rPr>
                <w:rFonts w:ascii="Times New Roman" w:eastAsia="Times New Roman" w:hAnsi="Times New Roman" w:cs="Arial"/>
                <w:b/>
                <w:sz w:val="20"/>
                <w:szCs w:val="20"/>
                <w:lang w:val="en-GB" w:eastAsia="it-IT"/>
              </w:rPr>
              <w:t>Standard care</w:t>
            </w:r>
          </w:p>
        </w:tc>
        <w:tc>
          <w:tcPr>
            <w:tcW w:w="1924" w:type="dxa"/>
            <w:shd w:val="clear" w:color="auto" w:fill="auto"/>
            <w:vAlign w:val="center"/>
          </w:tcPr>
          <w:p w:rsidR="00014905" w:rsidRPr="00014905" w:rsidRDefault="00014905" w:rsidP="00014905">
            <w:pPr>
              <w:keepNext/>
              <w:spacing w:before="100" w:beforeAutospacing="1" w:after="100" w:afterAutospacing="1" w:line="288" w:lineRule="auto"/>
              <w:jc w:val="center"/>
              <w:rPr>
                <w:rFonts w:ascii="Times New Roman" w:eastAsia="Times New Roman" w:hAnsi="Times New Roman" w:cs="Arial"/>
                <w:b/>
                <w:sz w:val="20"/>
                <w:szCs w:val="20"/>
                <w:lang w:val="en-GB" w:eastAsia="it-IT"/>
              </w:rPr>
            </w:pPr>
            <w:r w:rsidRPr="00014905">
              <w:rPr>
                <w:rFonts w:ascii="Times New Roman" w:eastAsia="Times New Roman" w:hAnsi="Times New Roman" w:cs="Arial"/>
                <w:b/>
                <w:sz w:val="20"/>
                <w:szCs w:val="20"/>
                <w:lang w:val="en-GB" w:eastAsia="it-IT"/>
              </w:rPr>
              <w:t>TOTAL</w:t>
            </w:r>
          </w:p>
        </w:tc>
      </w:tr>
      <w:tr w:rsidR="00014905" w:rsidRPr="00014905" w:rsidTr="00EF70CB">
        <w:trPr>
          <w:tblCellSpacing w:w="20" w:type="dxa"/>
          <w:jc w:val="center"/>
        </w:trPr>
        <w:tc>
          <w:tcPr>
            <w:tcW w:w="1282" w:type="dxa"/>
            <w:shd w:val="clear" w:color="auto" w:fill="auto"/>
            <w:vAlign w:val="center"/>
          </w:tcPr>
          <w:p w:rsidR="00014905" w:rsidRPr="00014905" w:rsidRDefault="00014905" w:rsidP="00014905">
            <w:pPr>
              <w:keepNext/>
              <w:spacing w:before="100" w:beforeAutospacing="1" w:after="100" w:afterAutospacing="1" w:line="288" w:lineRule="auto"/>
              <w:jc w:val="both"/>
              <w:rPr>
                <w:rFonts w:ascii="Times New Roman" w:eastAsia="Times New Roman" w:hAnsi="Times New Roman" w:cs="Arial"/>
                <w:b/>
                <w:sz w:val="20"/>
                <w:szCs w:val="20"/>
                <w:lang w:val="en-GB" w:eastAsia="it-IT"/>
              </w:rPr>
            </w:pPr>
            <w:r w:rsidRPr="00014905">
              <w:rPr>
                <w:rFonts w:ascii="Times New Roman" w:eastAsia="Times New Roman" w:hAnsi="Times New Roman" w:cs="Arial"/>
                <w:b/>
                <w:sz w:val="20"/>
                <w:szCs w:val="20"/>
                <w:lang w:val="en-GB" w:eastAsia="it-IT"/>
              </w:rPr>
              <w:t>Germany</w:t>
            </w:r>
          </w:p>
        </w:tc>
        <w:tc>
          <w:tcPr>
            <w:tcW w:w="1803"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sz w:val="20"/>
                <w:szCs w:val="20"/>
                <w:lang w:val="en-GB" w:eastAsia="it-IT"/>
              </w:rPr>
            </w:pPr>
            <w:r w:rsidRPr="00014905">
              <w:rPr>
                <w:rFonts w:ascii="Times New Roman" w:eastAsia="Times New Roman" w:hAnsi="Times New Roman" w:cs="Arial"/>
                <w:sz w:val="20"/>
                <w:szCs w:val="20"/>
                <w:lang w:val="en-GB" w:eastAsia="it-IT"/>
              </w:rPr>
              <w:t>1,179</w:t>
            </w:r>
          </w:p>
        </w:tc>
        <w:tc>
          <w:tcPr>
            <w:tcW w:w="2086"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sz w:val="20"/>
                <w:szCs w:val="20"/>
                <w:lang w:val="en-GB" w:eastAsia="it-IT"/>
              </w:rPr>
            </w:pPr>
            <w:r w:rsidRPr="00014905">
              <w:rPr>
                <w:rFonts w:ascii="Times New Roman" w:eastAsia="Times New Roman" w:hAnsi="Times New Roman" w:cs="Arial"/>
                <w:sz w:val="20"/>
                <w:szCs w:val="20"/>
                <w:lang w:val="en-GB" w:eastAsia="it-IT"/>
              </w:rPr>
              <w:t>887</w:t>
            </w:r>
          </w:p>
        </w:tc>
        <w:tc>
          <w:tcPr>
            <w:tcW w:w="1924"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b/>
                <w:bCs/>
                <w:sz w:val="20"/>
                <w:szCs w:val="20"/>
                <w:lang w:val="en-GB" w:eastAsia="it-IT"/>
              </w:rPr>
            </w:pPr>
            <w:r w:rsidRPr="00014905">
              <w:rPr>
                <w:rFonts w:ascii="Times New Roman" w:eastAsia="Times New Roman" w:hAnsi="Times New Roman" w:cs="Arial"/>
                <w:b/>
                <w:bCs/>
                <w:sz w:val="20"/>
                <w:szCs w:val="20"/>
                <w:lang w:val="en-GB" w:eastAsia="it-IT"/>
              </w:rPr>
              <w:t>2,066</w:t>
            </w:r>
          </w:p>
        </w:tc>
      </w:tr>
      <w:tr w:rsidR="00014905" w:rsidRPr="00014905" w:rsidTr="00EF70CB">
        <w:trPr>
          <w:tblCellSpacing w:w="20" w:type="dxa"/>
          <w:jc w:val="center"/>
        </w:trPr>
        <w:tc>
          <w:tcPr>
            <w:tcW w:w="1282" w:type="dxa"/>
            <w:shd w:val="clear" w:color="auto" w:fill="auto"/>
            <w:vAlign w:val="center"/>
          </w:tcPr>
          <w:p w:rsidR="00014905" w:rsidRPr="00014905" w:rsidRDefault="00014905" w:rsidP="00014905">
            <w:pPr>
              <w:keepNext/>
              <w:spacing w:before="100" w:beforeAutospacing="1" w:after="100" w:afterAutospacing="1" w:line="288" w:lineRule="auto"/>
              <w:jc w:val="both"/>
              <w:rPr>
                <w:rFonts w:ascii="Times New Roman" w:eastAsia="Times New Roman" w:hAnsi="Times New Roman" w:cs="Arial"/>
                <w:b/>
                <w:sz w:val="20"/>
                <w:szCs w:val="20"/>
                <w:lang w:val="en-GB" w:eastAsia="it-IT"/>
              </w:rPr>
            </w:pPr>
            <w:r w:rsidRPr="00014905">
              <w:rPr>
                <w:rFonts w:ascii="Times New Roman" w:eastAsia="Times New Roman" w:hAnsi="Times New Roman" w:cs="Arial"/>
                <w:b/>
                <w:sz w:val="20"/>
                <w:szCs w:val="20"/>
                <w:lang w:val="en-GB" w:eastAsia="it-IT"/>
              </w:rPr>
              <w:t xml:space="preserve">Sweden </w:t>
            </w:r>
          </w:p>
        </w:tc>
        <w:tc>
          <w:tcPr>
            <w:tcW w:w="1803"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sz w:val="20"/>
                <w:szCs w:val="20"/>
                <w:lang w:val="en-GB" w:eastAsia="it-IT"/>
              </w:rPr>
            </w:pPr>
            <w:r w:rsidRPr="00014905">
              <w:rPr>
                <w:rFonts w:ascii="Times New Roman" w:eastAsia="Times New Roman" w:hAnsi="Times New Roman" w:cs="Arial"/>
                <w:sz w:val="20"/>
                <w:szCs w:val="20"/>
                <w:lang w:val="en-GB" w:eastAsia="it-IT"/>
              </w:rPr>
              <w:t>902</w:t>
            </w:r>
          </w:p>
        </w:tc>
        <w:tc>
          <w:tcPr>
            <w:tcW w:w="2086"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sz w:val="20"/>
                <w:szCs w:val="20"/>
                <w:lang w:val="en-GB" w:eastAsia="it-IT"/>
              </w:rPr>
            </w:pPr>
            <w:r w:rsidRPr="00014905">
              <w:rPr>
                <w:rFonts w:ascii="Times New Roman" w:eastAsia="Times New Roman" w:hAnsi="Times New Roman" w:cs="Arial"/>
                <w:sz w:val="20"/>
                <w:szCs w:val="20"/>
                <w:lang w:val="en-GB" w:eastAsia="it-IT"/>
              </w:rPr>
              <w:t>907</w:t>
            </w:r>
          </w:p>
        </w:tc>
        <w:tc>
          <w:tcPr>
            <w:tcW w:w="1924"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b/>
                <w:bCs/>
                <w:sz w:val="20"/>
                <w:szCs w:val="20"/>
                <w:lang w:val="en-GB" w:eastAsia="it-IT"/>
              </w:rPr>
            </w:pPr>
            <w:r w:rsidRPr="00014905">
              <w:rPr>
                <w:rFonts w:ascii="Times New Roman" w:eastAsia="Times New Roman" w:hAnsi="Times New Roman" w:cs="Arial"/>
                <w:b/>
                <w:bCs/>
                <w:sz w:val="20"/>
                <w:szCs w:val="20"/>
                <w:lang w:val="en-GB" w:eastAsia="it-IT"/>
              </w:rPr>
              <w:t>1,809</w:t>
            </w:r>
          </w:p>
        </w:tc>
      </w:tr>
      <w:tr w:rsidR="00014905" w:rsidRPr="00014905" w:rsidTr="00EF70CB">
        <w:trPr>
          <w:tblCellSpacing w:w="20" w:type="dxa"/>
          <w:jc w:val="center"/>
        </w:trPr>
        <w:tc>
          <w:tcPr>
            <w:tcW w:w="1282" w:type="dxa"/>
            <w:shd w:val="clear" w:color="auto" w:fill="auto"/>
            <w:vAlign w:val="center"/>
          </w:tcPr>
          <w:p w:rsidR="00014905" w:rsidRPr="00014905" w:rsidRDefault="00014905" w:rsidP="00014905">
            <w:pPr>
              <w:keepNext/>
              <w:spacing w:before="100" w:beforeAutospacing="1" w:after="100" w:afterAutospacing="1" w:line="288" w:lineRule="auto"/>
              <w:jc w:val="both"/>
              <w:rPr>
                <w:rFonts w:ascii="Times New Roman" w:eastAsia="Times New Roman" w:hAnsi="Times New Roman" w:cs="Arial"/>
                <w:b/>
                <w:sz w:val="20"/>
                <w:szCs w:val="20"/>
                <w:lang w:val="en-GB" w:eastAsia="it-IT"/>
              </w:rPr>
            </w:pPr>
            <w:r w:rsidRPr="00014905">
              <w:rPr>
                <w:rFonts w:ascii="Times New Roman" w:eastAsia="Times New Roman" w:hAnsi="Times New Roman" w:cs="Arial"/>
                <w:b/>
                <w:sz w:val="20"/>
                <w:szCs w:val="20"/>
                <w:lang w:val="en-GB" w:eastAsia="it-IT"/>
              </w:rPr>
              <w:t xml:space="preserve">Estonia </w:t>
            </w:r>
          </w:p>
        </w:tc>
        <w:tc>
          <w:tcPr>
            <w:tcW w:w="1803"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sz w:val="20"/>
                <w:szCs w:val="20"/>
                <w:lang w:val="en-GB" w:eastAsia="it-IT"/>
              </w:rPr>
            </w:pPr>
            <w:r w:rsidRPr="00014905">
              <w:rPr>
                <w:rFonts w:ascii="Times New Roman" w:eastAsia="Times New Roman" w:hAnsi="Times New Roman" w:cs="Arial"/>
                <w:sz w:val="20"/>
                <w:szCs w:val="20"/>
                <w:lang w:val="en-GB" w:eastAsia="it-IT"/>
              </w:rPr>
              <w:t>793</w:t>
            </w:r>
          </w:p>
        </w:tc>
        <w:tc>
          <w:tcPr>
            <w:tcW w:w="2086"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sz w:val="20"/>
                <w:szCs w:val="20"/>
                <w:lang w:val="en-GB" w:eastAsia="it-IT"/>
              </w:rPr>
            </w:pPr>
            <w:r w:rsidRPr="00014905">
              <w:rPr>
                <w:rFonts w:ascii="Times New Roman" w:eastAsia="Times New Roman" w:hAnsi="Times New Roman" w:cs="Arial"/>
                <w:sz w:val="20"/>
                <w:szCs w:val="20"/>
                <w:lang w:val="en-GB" w:eastAsia="it-IT"/>
              </w:rPr>
              <w:t>926</w:t>
            </w:r>
          </w:p>
        </w:tc>
        <w:tc>
          <w:tcPr>
            <w:tcW w:w="1924"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b/>
                <w:bCs/>
                <w:sz w:val="20"/>
                <w:szCs w:val="20"/>
                <w:lang w:val="en-GB" w:eastAsia="it-IT"/>
              </w:rPr>
            </w:pPr>
            <w:r w:rsidRPr="00014905">
              <w:rPr>
                <w:rFonts w:ascii="Times New Roman" w:eastAsia="Times New Roman" w:hAnsi="Times New Roman" w:cs="Arial"/>
                <w:b/>
                <w:bCs/>
                <w:sz w:val="20"/>
                <w:szCs w:val="20"/>
                <w:lang w:val="en-GB" w:eastAsia="it-IT"/>
              </w:rPr>
              <w:t>1,719</w:t>
            </w:r>
          </w:p>
        </w:tc>
      </w:tr>
      <w:tr w:rsidR="00014905" w:rsidRPr="00014905" w:rsidTr="00EF70CB">
        <w:trPr>
          <w:tblCellSpacing w:w="20" w:type="dxa"/>
          <w:jc w:val="center"/>
        </w:trPr>
        <w:tc>
          <w:tcPr>
            <w:tcW w:w="1282" w:type="dxa"/>
            <w:shd w:val="clear" w:color="auto" w:fill="auto"/>
            <w:vAlign w:val="center"/>
          </w:tcPr>
          <w:p w:rsidR="00014905" w:rsidRPr="00014905" w:rsidRDefault="00014905" w:rsidP="00014905">
            <w:pPr>
              <w:keepNext/>
              <w:spacing w:before="100" w:beforeAutospacing="1" w:after="100" w:afterAutospacing="1" w:line="288" w:lineRule="auto"/>
              <w:jc w:val="both"/>
              <w:rPr>
                <w:rFonts w:ascii="Times New Roman" w:eastAsia="Times New Roman" w:hAnsi="Times New Roman" w:cs="Arial"/>
                <w:b/>
                <w:sz w:val="20"/>
                <w:szCs w:val="20"/>
                <w:lang w:val="en-GB" w:eastAsia="it-IT"/>
              </w:rPr>
            </w:pPr>
            <w:r w:rsidRPr="00014905">
              <w:rPr>
                <w:rFonts w:ascii="Times New Roman" w:eastAsia="Times New Roman" w:hAnsi="Times New Roman" w:cs="Arial"/>
                <w:b/>
                <w:sz w:val="20"/>
                <w:szCs w:val="20"/>
                <w:lang w:val="en-GB" w:eastAsia="it-IT"/>
              </w:rPr>
              <w:t>Spain</w:t>
            </w:r>
          </w:p>
        </w:tc>
        <w:tc>
          <w:tcPr>
            <w:tcW w:w="1803"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sz w:val="20"/>
                <w:szCs w:val="20"/>
                <w:lang w:val="en-GB" w:eastAsia="it-IT"/>
              </w:rPr>
            </w:pPr>
            <w:r w:rsidRPr="00014905">
              <w:rPr>
                <w:rFonts w:ascii="Times New Roman" w:eastAsia="Times New Roman" w:hAnsi="Times New Roman" w:cs="Arial"/>
                <w:sz w:val="20"/>
                <w:szCs w:val="20"/>
                <w:lang w:val="en-GB" w:eastAsia="it-IT"/>
              </w:rPr>
              <w:t>798</w:t>
            </w:r>
          </w:p>
        </w:tc>
        <w:tc>
          <w:tcPr>
            <w:tcW w:w="2086"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sz w:val="20"/>
                <w:szCs w:val="20"/>
                <w:lang w:val="en-GB" w:eastAsia="it-IT"/>
              </w:rPr>
            </w:pPr>
            <w:r w:rsidRPr="00014905">
              <w:rPr>
                <w:rFonts w:ascii="Times New Roman" w:eastAsia="Times New Roman" w:hAnsi="Times New Roman" w:cs="Arial"/>
                <w:sz w:val="20"/>
                <w:szCs w:val="20"/>
                <w:lang w:val="en-GB" w:eastAsia="it-IT"/>
              </w:rPr>
              <w:t>709</w:t>
            </w:r>
          </w:p>
        </w:tc>
        <w:tc>
          <w:tcPr>
            <w:tcW w:w="1924"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b/>
                <w:bCs/>
                <w:sz w:val="20"/>
                <w:szCs w:val="20"/>
                <w:lang w:val="en-GB" w:eastAsia="it-IT"/>
              </w:rPr>
            </w:pPr>
            <w:r w:rsidRPr="00014905">
              <w:rPr>
                <w:rFonts w:ascii="Times New Roman" w:eastAsia="Times New Roman" w:hAnsi="Times New Roman" w:cs="Arial"/>
                <w:b/>
                <w:bCs/>
                <w:sz w:val="20"/>
                <w:szCs w:val="20"/>
                <w:lang w:val="en-GB" w:eastAsia="it-IT"/>
              </w:rPr>
              <w:t>1,507</w:t>
            </w:r>
          </w:p>
        </w:tc>
      </w:tr>
      <w:tr w:rsidR="00014905" w:rsidRPr="00014905" w:rsidTr="00EF70CB">
        <w:trPr>
          <w:tblCellSpacing w:w="20" w:type="dxa"/>
          <w:jc w:val="center"/>
        </w:trPr>
        <w:tc>
          <w:tcPr>
            <w:tcW w:w="1282" w:type="dxa"/>
            <w:shd w:val="clear" w:color="auto" w:fill="auto"/>
            <w:vAlign w:val="center"/>
          </w:tcPr>
          <w:p w:rsidR="00014905" w:rsidRPr="00014905" w:rsidRDefault="00014905" w:rsidP="00014905">
            <w:pPr>
              <w:keepNext/>
              <w:spacing w:before="100" w:beforeAutospacing="1" w:after="100" w:afterAutospacing="1" w:line="288" w:lineRule="auto"/>
              <w:jc w:val="both"/>
              <w:rPr>
                <w:rFonts w:ascii="Times New Roman" w:eastAsia="Times New Roman" w:hAnsi="Times New Roman" w:cs="Arial"/>
                <w:b/>
                <w:sz w:val="20"/>
                <w:szCs w:val="20"/>
                <w:lang w:val="en-GB" w:eastAsia="it-IT"/>
              </w:rPr>
            </w:pPr>
            <w:r w:rsidRPr="00014905">
              <w:rPr>
                <w:rFonts w:ascii="Times New Roman" w:eastAsia="Times New Roman" w:hAnsi="Times New Roman" w:cs="Arial"/>
                <w:b/>
                <w:sz w:val="20"/>
                <w:szCs w:val="20"/>
                <w:lang w:val="en-GB" w:eastAsia="it-IT"/>
              </w:rPr>
              <w:t xml:space="preserve">Cyprus </w:t>
            </w:r>
          </w:p>
        </w:tc>
        <w:tc>
          <w:tcPr>
            <w:tcW w:w="1803"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sz w:val="20"/>
                <w:szCs w:val="20"/>
                <w:lang w:val="en-GB" w:eastAsia="it-IT"/>
              </w:rPr>
            </w:pPr>
            <w:r w:rsidRPr="00014905">
              <w:rPr>
                <w:rFonts w:ascii="Times New Roman" w:eastAsia="Times New Roman" w:hAnsi="Times New Roman" w:cs="Arial"/>
                <w:sz w:val="20"/>
                <w:szCs w:val="20"/>
                <w:lang w:val="en-GB" w:eastAsia="it-IT"/>
              </w:rPr>
              <w:t>1,373</w:t>
            </w:r>
          </w:p>
        </w:tc>
        <w:tc>
          <w:tcPr>
            <w:tcW w:w="2086"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sz w:val="20"/>
                <w:szCs w:val="20"/>
                <w:lang w:val="en-GB" w:eastAsia="it-IT"/>
              </w:rPr>
            </w:pPr>
            <w:r w:rsidRPr="00014905">
              <w:rPr>
                <w:rFonts w:ascii="Times New Roman" w:eastAsia="Times New Roman" w:hAnsi="Times New Roman" w:cs="Arial"/>
                <w:sz w:val="20"/>
                <w:szCs w:val="20"/>
                <w:lang w:val="en-GB" w:eastAsia="it-IT"/>
              </w:rPr>
              <w:t>1,007</w:t>
            </w:r>
          </w:p>
        </w:tc>
        <w:tc>
          <w:tcPr>
            <w:tcW w:w="1924"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b/>
                <w:bCs/>
                <w:sz w:val="20"/>
                <w:szCs w:val="20"/>
                <w:lang w:val="en-GB" w:eastAsia="it-IT"/>
              </w:rPr>
            </w:pPr>
            <w:r w:rsidRPr="00014905">
              <w:rPr>
                <w:rFonts w:ascii="Times New Roman" w:eastAsia="Times New Roman" w:hAnsi="Times New Roman" w:cs="Arial"/>
                <w:b/>
                <w:bCs/>
                <w:sz w:val="20"/>
                <w:szCs w:val="20"/>
                <w:lang w:val="en-GB" w:eastAsia="it-IT"/>
              </w:rPr>
              <w:t>2,380</w:t>
            </w:r>
          </w:p>
        </w:tc>
      </w:tr>
      <w:tr w:rsidR="00014905" w:rsidRPr="00014905" w:rsidTr="00EF70CB">
        <w:trPr>
          <w:tblCellSpacing w:w="20" w:type="dxa"/>
          <w:jc w:val="center"/>
        </w:trPr>
        <w:tc>
          <w:tcPr>
            <w:tcW w:w="1282" w:type="dxa"/>
            <w:shd w:val="clear" w:color="auto" w:fill="auto"/>
            <w:vAlign w:val="center"/>
          </w:tcPr>
          <w:p w:rsidR="00014905" w:rsidRPr="00014905" w:rsidRDefault="00014905" w:rsidP="00014905">
            <w:pPr>
              <w:keepNext/>
              <w:spacing w:before="100" w:beforeAutospacing="1" w:after="100" w:afterAutospacing="1" w:line="288" w:lineRule="auto"/>
              <w:jc w:val="both"/>
              <w:rPr>
                <w:rFonts w:ascii="Times New Roman" w:eastAsia="Times New Roman" w:hAnsi="Times New Roman" w:cs="Arial"/>
                <w:b/>
                <w:sz w:val="20"/>
                <w:szCs w:val="20"/>
                <w:lang w:val="en-GB" w:eastAsia="it-IT"/>
              </w:rPr>
            </w:pPr>
            <w:r w:rsidRPr="00014905">
              <w:rPr>
                <w:rFonts w:ascii="Times New Roman" w:eastAsia="Times New Roman" w:hAnsi="Times New Roman" w:cs="Arial"/>
                <w:b/>
                <w:sz w:val="20"/>
                <w:szCs w:val="20"/>
                <w:lang w:val="en-GB" w:eastAsia="it-IT"/>
              </w:rPr>
              <w:t>Italy</w:t>
            </w:r>
          </w:p>
        </w:tc>
        <w:tc>
          <w:tcPr>
            <w:tcW w:w="1803"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sz w:val="20"/>
                <w:szCs w:val="20"/>
                <w:lang w:val="en-GB" w:eastAsia="it-IT"/>
              </w:rPr>
            </w:pPr>
            <w:r w:rsidRPr="00014905">
              <w:rPr>
                <w:rFonts w:ascii="Times New Roman" w:eastAsia="Times New Roman" w:hAnsi="Times New Roman" w:cs="Arial"/>
                <w:sz w:val="20"/>
                <w:szCs w:val="20"/>
                <w:lang w:val="en-GB" w:eastAsia="it-IT"/>
              </w:rPr>
              <w:t>1,155</w:t>
            </w:r>
          </w:p>
        </w:tc>
        <w:tc>
          <w:tcPr>
            <w:tcW w:w="2086"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sz w:val="20"/>
                <w:szCs w:val="20"/>
                <w:lang w:val="en-GB" w:eastAsia="it-IT"/>
              </w:rPr>
            </w:pPr>
            <w:r w:rsidRPr="00014905">
              <w:rPr>
                <w:rFonts w:ascii="Times New Roman" w:eastAsia="Times New Roman" w:hAnsi="Times New Roman" w:cs="Arial"/>
                <w:sz w:val="20"/>
                <w:szCs w:val="20"/>
                <w:lang w:val="en-GB" w:eastAsia="it-IT"/>
              </w:rPr>
              <w:t>1,095</w:t>
            </w:r>
          </w:p>
        </w:tc>
        <w:tc>
          <w:tcPr>
            <w:tcW w:w="1924"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b/>
                <w:bCs/>
                <w:sz w:val="20"/>
                <w:szCs w:val="20"/>
                <w:lang w:val="en-GB" w:eastAsia="it-IT"/>
              </w:rPr>
            </w:pPr>
            <w:r w:rsidRPr="00014905">
              <w:rPr>
                <w:rFonts w:ascii="Times New Roman" w:eastAsia="Times New Roman" w:hAnsi="Times New Roman" w:cs="Arial"/>
                <w:b/>
                <w:bCs/>
                <w:sz w:val="20"/>
                <w:szCs w:val="20"/>
                <w:lang w:val="en-GB" w:eastAsia="it-IT"/>
              </w:rPr>
              <w:t>2,250</w:t>
            </w:r>
          </w:p>
        </w:tc>
      </w:tr>
      <w:tr w:rsidR="00014905" w:rsidRPr="00014905" w:rsidTr="00EF70CB">
        <w:trPr>
          <w:tblCellSpacing w:w="20" w:type="dxa"/>
          <w:jc w:val="center"/>
        </w:trPr>
        <w:tc>
          <w:tcPr>
            <w:tcW w:w="1282" w:type="dxa"/>
            <w:shd w:val="clear" w:color="auto" w:fill="auto"/>
            <w:vAlign w:val="center"/>
          </w:tcPr>
          <w:p w:rsidR="00014905" w:rsidRPr="00014905" w:rsidRDefault="00014905" w:rsidP="00014905">
            <w:pPr>
              <w:keepNext/>
              <w:spacing w:before="100" w:beforeAutospacing="1" w:after="100" w:afterAutospacing="1" w:line="288" w:lineRule="auto"/>
              <w:jc w:val="both"/>
              <w:rPr>
                <w:rFonts w:ascii="Times New Roman" w:eastAsia="Times New Roman" w:hAnsi="Times New Roman" w:cs="Arial"/>
                <w:b/>
                <w:sz w:val="20"/>
                <w:szCs w:val="20"/>
                <w:lang w:val="en-GB" w:eastAsia="it-IT"/>
              </w:rPr>
            </w:pPr>
            <w:r w:rsidRPr="00014905">
              <w:rPr>
                <w:rFonts w:ascii="Times New Roman" w:eastAsia="Times New Roman" w:hAnsi="Times New Roman" w:cs="Arial"/>
                <w:b/>
                <w:sz w:val="20"/>
                <w:szCs w:val="20"/>
                <w:lang w:val="en-GB" w:eastAsia="it-IT"/>
              </w:rPr>
              <w:t>Hungary</w:t>
            </w:r>
          </w:p>
        </w:tc>
        <w:tc>
          <w:tcPr>
            <w:tcW w:w="1803"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sz w:val="20"/>
                <w:szCs w:val="20"/>
                <w:lang w:val="en-GB" w:eastAsia="it-IT"/>
              </w:rPr>
            </w:pPr>
            <w:r w:rsidRPr="00014905">
              <w:rPr>
                <w:rFonts w:ascii="Times New Roman" w:eastAsia="Times New Roman" w:hAnsi="Times New Roman" w:cs="Arial"/>
                <w:sz w:val="20"/>
                <w:szCs w:val="20"/>
                <w:lang w:val="en-GB" w:eastAsia="it-IT"/>
              </w:rPr>
              <w:t>1,277</w:t>
            </w:r>
          </w:p>
        </w:tc>
        <w:tc>
          <w:tcPr>
            <w:tcW w:w="2086"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sz w:val="20"/>
                <w:szCs w:val="20"/>
                <w:lang w:val="en-GB" w:eastAsia="it-IT"/>
              </w:rPr>
            </w:pPr>
            <w:r w:rsidRPr="00014905">
              <w:rPr>
                <w:rFonts w:ascii="Times New Roman" w:eastAsia="Times New Roman" w:hAnsi="Times New Roman" w:cs="Arial"/>
                <w:sz w:val="20"/>
                <w:szCs w:val="20"/>
                <w:lang w:val="en-GB" w:eastAsia="it-IT"/>
              </w:rPr>
              <w:t>1,290</w:t>
            </w:r>
          </w:p>
        </w:tc>
        <w:tc>
          <w:tcPr>
            <w:tcW w:w="1924"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b/>
                <w:bCs/>
                <w:sz w:val="20"/>
                <w:szCs w:val="20"/>
                <w:lang w:val="en-GB" w:eastAsia="it-IT"/>
              </w:rPr>
            </w:pPr>
            <w:r w:rsidRPr="00014905">
              <w:rPr>
                <w:rFonts w:ascii="Times New Roman" w:eastAsia="Times New Roman" w:hAnsi="Times New Roman" w:cs="Arial"/>
                <w:b/>
                <w:bCs/>
                <w:sz w:val="20"/>
                <w:szCs w:val="20"/>
                <w:lang w:val="en-GB" w:eastAsia="it-IT"/>
              </w:rPr>
              <w:t>2,567</w:t>
            </w:r>
          </w:p>
        </w:tc>
      </w:tr>
      <w:tr w:rsidR="00014905" w:rsidRPr="00014905" w:rsidTr="00EF70CB">
        <w:trPr>
          <w:tblCellSpacing w:w="20" w:type="dxa"/>
          <w:jc w:val="center"/>
        </w:trPr>
        <w:tc>
          <w:tcPr>
            <w:tcW w:w="1282" w:type="dxa"/>
            <w:shd w:val="clear" w:color="auto" w:fill="auto"/>
            <w:vAlign w:val="center"/>
          </w:tcPr>
          <w:p w:rsidR="00014905" w:rsidRPr="00014905" w:rsidRDefault="00014905" w:rsidP="00014905">
            <w:pPr>
              <w:keepNext/>
              <w:spacing w:before="100" w:beforeAutospacing="1" w:after="100" w:afterAutospacing="1" w:line="288" w:lineRule="auto"/>
              <w:jc w:val="both"/>
              <w:rPr>
                <w:rFonts w:ascii="Times New Roman" w:eastAsia="Times New Roman" w:hAnsi="Times New Roman" w:cs="Arial"/>
                <w:b/>
                <w:sz w:val="20"/>
                <w:szCs w:val="20"/>
                <w:lang w:val="en-GB" w:eastAsia="it-IT"/>
              </w:rPr>
            </w:pPr>
            <w:r w:rsidRPr="00014905">
              <w:rPr>
                <w:rFonts w:ascii="Times New Roman" w:eastAsia="Times New Roman" w:hAnsi="Times New Roman" w:cs="Arial"/>
                <w:b/>
                <w:sz w:val="20"/>
                <w:szCs w:val="20"/>
                <w:lang w:val="en-GB" w:eastAsia="it-IT"/>
              </w:rPr>
              <w:t>Belgium</w:t>
            </w:r>
          </w:p>
        </w:tc>
        <w:tc>
          <w:tcPr>
            <w:tcW w:w="1803"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sz w:val="20"/>
                <w:szCs w:val="20"/>
                <w:lang w:val="en-GB" w:eastAsia="it-IT"/>
              </w:rPr>
            </w:pPr>
            <w:r w:rsidRPr="00014905">
              <w:rPr>
                <w:rFonts w:ascii="Times New Roman" w:eastAsia="Times New Roman" w:hAnsi="Times New Roman" w:cs="Arial"/>
                <w:sz w:val="20"/>
                <w:szCs w:val="20"/>
                <w:lang w:val="en-GB" w:eastAsia="it-IT"/>
              </w:rPr>
              <w:t>976</w:t>
            </w:r>
          </w:p>
        </w:tc>
        <w:tc>
          <w:tcPr>
            <w:tcW w:w="2086"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sz w:val="20"/>
                <w:szCs w:val="20"/>
                <w:lang w:val="en-GB" w:eastAsia="it-IT"/>
              </w:rPr>
            </w:pPr>
            <w:r w:rsidRPr="00014905">
              <w:rPr>
                <w:rFonts w:ascii="Times New Roman" w:eastAsia="Times New Roman" w:hAnsi="Times New Roman" w:cs="Arial"/>
                <w:sz w:val="20"/>
                <w:szCs w:val="20"/>
                <w:lang w:val="en-GB" w:eastAsia="it-IT"/>
              </w:rPr>
              <w:t>950</w:t>
            </w:r>
          </w:p>
        </w:tc>
        <w:tc>
          <w:tcPr>
            <w:tcW w:w="1924"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b/>
                <w:bCs/>
                <w:sz w:val="20"/>
                <w:szCs w:val="20"/>
                <w:lang w:val="en-GB" w:eastAsia="it-IT"/>
              </w:rPr>
            </w:pPr>
            <w:r w:rsidRPr="00014905">
              <w:rPr>
                <w:rFonts w:ascii="Times New Roman" w:eastAsia="Times New Roman" w:hAnsi="Times New Roman" w:cs="Arial"/>
                <w:b/>
                <w:bCs/>
                <w:sz w:val="20"/>
                <w:szCs w:val="20"/>
                <w:lang w:val="en-GB" w:eastAsia="it-IT"/>
              </w:rPr>
              <w:t>1,926</w:t>
            </w:r>
          </w:p>
        </w:tc>
      </w:tr>
      <w:tr w:rsidR="00014905" w:rsidRPr="00014905" w:rsidTr="00EF70CB">
        <w:trPr>
          <w:trHeight w:val="184"/>
          <w:tblCellSpacing w:w="20" w:type="dxa"/>
          <w:jc w:val="center"/>
        </w:trPr>
        <w:tc>
          <w:tcPr>
            <w:tcW w:w="1282" w:type="dxa"/>
            <w:shd w:val="clear" w:color="auto" w:fill="auto"/>
            <w:vAlign w:val="center"/>
          </w:tcPr>
          <w:p w:rsidR="00014905" w:rsidRPr="00014905" w:rsidRDefault="00014905" w:rsidP="00014905">
            <w:pPr>
              <w:keepNext/>
              <w:spacing w:before="100" w:beforeAutospacing="1" w:after="100" w:afterAutospacing="1" w:line="288" w:lineRule="auto"/>
              <w:jc w:val="both"/>
              <w:rPr>
                <w:rFonts w:ascii="Times New Roman" w:eastAsia="Times New Roman" w:hAnsi="Times New Roman" w:cs="Arial"/>
                <w:b/>
                <w:sz w:val="20"/>
                <w:szCs w:val="20"/>
                <w:lang w:val="en-GB" w:eastAsia="it-IT"/>
              </w:rPr>
            </w:pPr>
            <w:r w:rsidRPr="00014905">
              <w:rPr>
                <w:rFonts w:ascii="Times New Roman" w:eastAsia="Times New Roman" w:hAnsi="Times New Roman" w:cs="Arial"/>
                <w:b/>
                <w:sz w:val="20"/>
                <w:szCs w:val="20"/>
                <w:lang w:val="en-GB" w:eastAsia="it-IT"/>
              </w:rPr>
              <w:t>TOTAL</w:t>
            </w:r>
          </w:p>
        </w:tc>
        <w:tc>
          <w:tcPr>
            <w:tcW w:w="1803"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b/>
                <w:sz w:val="20"/>
                <w:szCs w:val="20"/>
                <w:lang w:val="en-GB" w:eastAsia="it-IT"/>
              </w:rPr>
            </w:pPr>
            <w:r w:rsidRPr="00014905">
              <w:rPr>
                <w:rFonts w:ascii="Times New Roman" w:eastAsia="Times New Roman" w:hAnsi="Times New Roman" w:cs="Arial"/>
                <w:b/>
                <w:sz w:val="20"/>
                <w:szCs w:val="20"/>
                <w:lang w:val="en-GB" w:eastAsia="it-IT"/>
              </w:rPr>
              <w:t>8,453</w:t>
            </w:r>
          </w:p>
        </w:tc>
        <w:tc>
          <w:tcPr>
            <w:tcW w:w="2086"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b/>
                <w:sz w:val="20"/>
                <w:szCs w:val="20"/>
                <w:lang w:val="en-GB" w:eastAsia="it-IT"/>
              </w:rPr>
            </w:pPr>
            <w:r w:rsidRPr="00014905">
              <w:rPr>
                <w:rFonts w:ascii="Times New Roman" w:eastAsia="Times New Roman" w:hAnsi="Times New Roman" w:cs="Arial"/>
                <w:b/>
                <w:sz w:val="20"/>
                <w:szCs w:val="20"/>
                <w:lang w:val="en-GB" w:eastAsia="it-IT"/>
              </w:rPr>
              <w:t>7,771</w:t>
            </w:r>
          </w:p>
        </w:tc>
        <w:tc>
          <w:tcPr>
            <w:tcW w:w="1924" w:type="dxa"/>
            <w:shd w:val="clear" w:color="auto" w:fill="auto"/>
            <w:vAlign w:val="center"/>
          </w:tcPr>
          <w:p w:rsidR="00014905" w:rsidRPr="00014905" w:rsidRDefault="00014905" w:rsidP="00014905">
            <w:pPr>
              <w:spacing w:before="100" w:beforeAutospacing="1" w:after="100" w:afterAutospacing="1" w:line="288" w:lineRule="auto"/>
              <w:jc w:val="center"/>
              <w:rPr>
                <w:rFonts w:ascii="Times New Roman" w:eastAsia="Times New Roman" w:hAnsi="Times New Roman" w:cs="Arial"/>
                <w:b/>
                <w:bCs/>
                <w:sz w:val="20"/>
                <w:szCs w:val="20"/>
                <w:lang w:val="en-GB" w:eastAsia="it-IT"/>
              </w:rPr>
            </w:pPr>
            <w:r w:rsidRPr="00014905">
              <w:rPr>
                <w:rFonts w:ascii="Times New Roman" w:eastAsia="Times New Roman" w:hAnsi="Times New Roman" w:cs="Arial"/>
                <w:b/>
                <w:bCs/>
                <w:sz w:val="20"/>
                <w:szCs w:val="20"/>
                <w:lang w:val="en-GB" w:eastAsia="it-IT"/>
              </w:rPr>
              <w:t>16,224</w:t>
            </w:r>
          </w:p>
        </w:tc>
      </w:tr>
    </w:tbl>
    <w:p w:rsidR="00014905" w:rsidRDefault="00014905">
      <w:pPr>
        <w:rPr>
          <w:lang w:val="en-US"/>
        </w:rPr>
      </w:pPr>
    </w:p>
    <w:p w:rsidR="00D83E99" w:rsidRDefault="00D83E99">
      <w:pPr>
        <w:rPr>
          <w:lang w:val="en-US"/>
        </w:rPr>
      </w:pPr>
    </w:p>
    <w:p w:rsidR="00D83E99" w:rsidRDefault="00D83E99">
      <w:pPr>
        <w:rPr>
          <w:lang w:val="en-US"/>
        </w:rPr>
      </w:pPr>
      <w:r>
        <w:rPr>
          <w:lang w:val="en-US"/>
        </w:rPr>
        <w:br w:type="page"/>
      </w:r>
    </w:p>
    <w:p w:rsidR="00D83E99" w:rsidRPr="00EE3D32" w:rsidRDefault="00D83E99" w:rsidP="00D83E99">
      <w:pPr>
        <w:rPr>
          <w:b/>
          <w:sz w:val="28"/>
          <w:szCs w:val="20"/>
        </w:rPr>
      </w:pPr>
      <w:r>
        <w:rPr>
          <w:b/>
          <w:sz w:val="28"/>
          <w:szCs w:val="20"/>
        </w:rPr>
        <w:lastRenderedPageBreak/>
        <w:t>RISULTATI</w:t>
      </w:r>
    </w:p>
    <w:p w:rsidR="004C0D2D" w:rsidRDefault="00CE4260" w:rsidP="00D83E99">
      <w:r>
        <w:t xml:space="preserve">Prevalenza di sovrappeso e obesità </w:t>
      </w:r>
      <w:r w:rsidR="0091378E">
        <w:t xml:space="preserve">in base al paese di appartenenza, separatamente per i ragazzi </w:t>
      </w:r>
      <w:r>
        <w:t>(</w:t>
      </w:r>
      <w:r w:rsidR="00D83E99" w:rsidRPr="00EE3D32">
        <w:t>F</w:t>
      </w:r>
      <w:r w:rsidR="0091378E">
        <w:t>igura</w:t>
      </w:r>
      <w:r w:rsidR="00D83E99" w:rsidRPr="00EE3D32">
        <w:t xml:space="preserve"> </w:t>
      </w:r>
      <w:r w:rsidR="0091378E">
        <w:t xml:space="preserve">8) e le ragazze (figura 9). </w:t>
      </w:r>
      <w:r w:rsidR="004C0D2D">
        <w:t>Sono evidenti le differenze nei vari Paesi partecipanti al progetto.</w:t>
      </w:r>
    </w:p>
    <w:p w:rsidR="00014905" w:rsidRPr="00D84726" w:rsidRDefault="00014905" w:rsidP="00014905">
      <w:pPr>
        <w:keepNext/>
        <w:spacing w:after="0" w:line="240" w:lineRule="auto"/>
        <w:jc w:val="center"/>
      </w:pPr>
      <w:r>
        <w:rPr>
          <w:noProof/>
          <w:lang w:eastAsia="it-IT"/>
        </w:rPr>
        <w:drawing>
          <wp:inline distT="0" distB="0" distL="0" distR="0">
            <wp:extent cx="5939790" cy="271399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srcRect/>
                    <a:stretch>
                      <a:fillRect/>
                    </a:stretch>
                  </pic:blipFill>
                  <pic:spPr bwMode="auto">
                    <a:xfrm>
                      <a:off x="0" y="0"/>
                      <a:ext cx="5939790" cy="2713990"/>
                    </a:xfrm>
                    <a:prstGeom prst="rect">
                      <a:avLst/>
                    </a:prstGeom>
                    <a:noFill/>
                    <a:ln w="9525">
                      <a:noFill/>
                      <a:miter lim="800000"/>
                      <a:headEnd/>
                      <a:tailEnd/>
                    </a:ln>
                  </pic:spPr>
                </pic:pic>
              </a:graphicData>
            </a:graphic>
          </wp:inline>
        </w:drawing>
      </w:r>
    </w:p>
    <w:p w:rsidR="00014905" w:rsidRPr="004C0D2D" w:rsidRDefault="00014905" w:rsidP="004C0D2D">
      <w:pPr>
        <w:pStyle w:val="Didascalia"/>
        <w:rPr>
          <w:lang w:val="it-IT"/>
        </w:rPr>
      </w:pPr>
      <w:r w:rsidRPr="004C0D2D">
        <w:rPr>
          <w:lang w:val="it-IT"/>
        </w:rPr>
        <w:t>Figur</w:t>
      </w:r>
      <w:r w:rsidR="004C0D2D">
        <w:rPr>
          <w:lang w:val="it-IT"/>
        </w:rPr>
        <w:t>a</w:t>
      </w:r>
      <w:r w:rsidRPr="004C0D2D">
        <w:rPr>
          <w:lang w:val="it-IT"/>
        </w:rPr>
        <w:t xml:space="preserve"> </w:t>
      </w:r>
      <w:r w:rsidR="00CE4260" w:rsidRPr="004C0D2D">
        <w:rPr>
          <w:lang w:val="it-IT"/>
        </w:rPr>
        <w:t>8</w:t>
      </w:r>
      <w:r w:rsidRPr="004C0D2D">
        <w:rPr>
          <w:lang w:val="it-IT"/>
        </w:rPr>
        <w:t xml:space="preserve">: </w:t>
      </w:r>
      <w:r w:rsidR="004C0D2D" w:rsidRPr="004C0D2D">
        <w:rPr>
          <w:lang w:val="it-IT"/>
        </w:rPr>
        <w:t xml:space="preserve">Grado di adiposità (criteri IOTF) in </w:t>
      </w:r>
      <w:r w:rsidR="004C0D2D" w:rsidRPr="004C0D2D">
        <w:rPr>
          <w:color w:val="0000FF"/>
          <w:lang w:val="it-IT"/>
        </w:rPr>
        <w:t>bambini</w:t>
      </w:r>
      <w:r w:rsidR="004C0D2D">
        <w:rPr>
          <w:color w:val="0000FF"/>
          <w:lang w:val="it-IT"/>
        </w:rPr>
        <w:t xml:space="preserve"> (N=8</w:t>
      </w:r>
      <w:r w:rsidR="004C0D2D" w:rsidRPr="004C0D2D">
        <w:rPr>
          <w:color w:val="0000FF"/>
          <w:lang w:val="it-IT"/>
        </w:rPr>
        <w:t>241)</w:t>
      </w:r>
      <w:r w:rsidR="004C0D2D" w:rsidRPr="004C0D2D">
        <w:rPr>
          <w:lang w:val="it-IT"/>
        </w:rPr>
        <w:t xml:space="preserve"> di età</w:t>
      </w:r>
      <w:r w:rsidR="004C0D2D">
        <w:rPr>
          <w:lang w:val="it-IT"/>
        </w:rPr>
        <w:t xml:space="preserve"> 2-</w:t>
      </w:r>
      <w:r w:rsidRPr="004C0D2D">
        <w:rPr>
          <w:lang w:val="it-IT"/>
        </w:rPr>
        <w:t>9</w:t>
      </w:r>
      <w:r w:rsidR="004C0D2D">
        <w:rPr>
          <w:lang w:val="it-IT"/>
        </w:rPr>
        <w:t xml:space="preserve"> anni. </w:t>
      </w:r>
    </w:p>
    <w:p w:rsidR="00014905" w:rsidRPr="00D84726" w:rsidRDefault="00014905" w:rsidP="00014905">
      <w:pPr>
        <w:keepNext/>
        <w:spacing w:after="0" w:line="240" w:lineRule="auto"/>
        <w:jc w:val="center"/>
      </w:pPr>
      <w:r>
        <w:rPr>
          <w:noProof/>
          <w:lang w:eastAsia="it-IT"/>
        </w:rPr>
        <w:drawing>
          <wp:inline distT="0" distB="0" distL="0" distR="0">
            <wp:extent cx="5969000" cy="3145790"/>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srcRect/>
                    <a:stretch>
                      <a:fillRect/>
                    </a:stretch>
                  </pic:blipFill>
                  <pic:spPr bwMode="auto">
                    <a:xfrm>
                      <a:off x="0" y="0"/>
                      <a:ext cx="5969000" cy="3145790"/>
                    </a:xfrm>
                    <a:prstGeom prst="rect">
                      <a:avLst/>
                    </a:prstGeom>
                    <a:noFill/>
                    <a:ln w="9525">
                      <a:noFill/>
                      <a:miter lim="800000"/>
                      <a:headEnd/>
                      <a:tailEnd/>
                    </a:ln>
                  </pic:spPr>
                </pic:pic>
              </a:graphicData>
            </a:graphic>
          </wp:inline>
        </w:drawing>
      </w:r>
    </w:p>
    <w:p w:rsidR="00014905" w:rsidRPr="004C0D2D" w:rsidRDefault="00014905" w:rsidP="00014905">
      <w:pPr>
        <w:pStyle w:val="Didascalia"/>
        <w:spacing w:before="0" w:beforeAutospacing="0"/>
        <w:rPr>
          <w:lang w:val="it-IT"/>
        </w:rPr>
      </w:pPr>
      <w:r w:rsidRPr="004C0D2D">
        <w:rPr>
          <w:lang w:val="it-IT"/>
        </w:rPr>
        <w:t>Figur</w:t>
      </w:r>
      <w:r w:rsidR="004C0D2D">
        <w:rPr>
          <w:lang w:val="it-IT"/>
        </w:rPr>
        <w:t>a</w:t>
      </w:r>
      <w:r w:rsidRPr="004C0D2D">
        <w:rPr>
          <w:lang w:val="it-IT"/>
        </w:rPr>
        <w:t xml:space="preserve"> </w:t>
      </w:r>
      <w:r w:rsidR="00CE4260" w:rsidRPr="004C0D2D">
        <w:rPr>
          <w:lang w:val="it-IT"/>
        </w:rPr>
        <w:t>9</w:t>
      </w:r>
      <w:r w:rsidRPr="004C0D2D">
        <w:rPr>
          <w:lang w:val="it-IT"/>
        </w:rPr>
        <w:t xml:space="preserve">: </w:t>
      </w:r>
      <w:r w:rsidR="004C0D2D" w:rsidRPr="004C0D2D">
        <w:rPr>
          <w:lang w:val="it-IT"/>
        </w:rPr>
        <w:t xml:space="preserve">Grado di adiposità (criteri IOTF) in </w:t>
      </w:r>
      <w:r w:rsidR="004C0D2D" w:rsidRPr="004C0D2D">
        <w:rPr>
          <w:color w:val="FF6600"/>
          <w:lang w:val="it-IT"/>
        </w:rPr>
        <w:t>bambine (N=7</w:t>
      </w:r>
      <w:r w:rsidRPr="004C0D2D">
        <w:rPr>
          <w:color w:val="FF6600"/>
          <w:lang w:val="it-IT"/>
        </w:rPr>
        <w:t>947)</w:t>
      </w:r>
      <w:r w:rsidRPr="004C0D2D">
        <w:rPr>
          <w:lang w:val="it-IT"/>
        </w:rPr>
        <w:t xml:space="preserve"> </w:t>
      </w:r>
      <w:r w:rsidR="004C0D2D" w:rsidRPr="004C0D2D">
        <w:rPr>
          <w:lang w:val="it-IT"/>
        </w:rPr>
        <w:t>di età</w:t>
      </w:r>
      <w:r w:rsidR="004C0D2D">
        <w:rPr>
          <w:lang w:val="it-IT"/>
        </w:rPr>
        <w:t xml:space="preserve"> 2-</w:t>
      </w:r>
      <w:r w:rsidR="004C0D2D" w:rsidRPr="004C0D2D">
        <w:rPr>
          <w:lang w:val="it-IT"/>
        </w:rPr>
        <w:t>9</w:t>
      </w:r>
      <w:r w:rsidR="004C0D2D">
        <w:rPr>
          <w:lang w:val="it-IT"/>
        </w:rPr>
        <w:t xml:space="preserve"> anni.</w:t>
      </w:r>
    </w:p>
    <w:p w:rsidR="004C0D2D" w:rsidRPr="004C0D2D" w:rsidRDefault="004C0D2D" w:rsidP="004C0D2D"/>
    <w:p w:rsidR="004C0D2D" w:rsidRDefault="004C0D2D" w:rsidP="004C0D2D">
      <w:r>
        <w:t>La prevalenza di sovrappeso e obesità è risultata essere associata, inv</w:t>
      </w:r>
      <w:r w:rsidR="007A1E3C">
        <w:t>ersamente, al reddito familiare</w:t>
      </w:r>
      <w:r>
        <w:t xml:space="preserve">, sia nei bambini più piccoli (Figura 10) che nei più grandi (Figura 11). </w:t>
      </w:r>
    </w:p>
    <w:p w:rsidR="00014905" w:rsidRPr="004C0D2D" w:rsidRDefault="00014905"/>
    <w:p w:rsidR="00014905" w:rsidRPr="00D84726" w:rsidRDefault="00014905" w:rsidP="00014905">
      <w:pPr>
        <w:spacing w:after="0"/>
        <w:jc w:val="center"/>
      </w:pPr>
      <w:r>
        <w:rPr>
          <w:noProof/>
          <w:lang w:eastAsia="it-IT"/>
        </w:rPr>
        <w:lastRenderedPageBreak/>
        <w:drawing>
          <wp:inline distT="0" distB="0" distL="0" distR="0">
            <wp:extent cx="4250055" cy="2136140"/>
            <wp:effectExtent l="0" t="0" r="0" b="0"/>
            <wp:docPr id="57" name="Oggetto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14905" w:rsidRPr="004C0D2D" w:rsidRDefault="00014905" w:rsidP="00014905">
      <w:pPr>
        <w:jc w:val="center"/>
        <w:rPr>
          <w:b/>
          <w:sz w:val="20"/>
          <w:szCs w:val="20"/>
        </w:rPr>
      </w:pPr>
      <w:r w:rsidRPr="004C0D2D">
        <w:rPr>
          <w:b/>
          <w:sz w:val="20"/>
          <w:szCs w:val="20"/>
        </w:rPr>
        <w:t>Figur</w:t>
      </w:r>
      <w:r w:rsidR="004C0D2D" w:rsidRPr="004C0D2D">
        <w:rPr>
          <w:b/>
          <w:sz w:val="20"/>
          <w:szCs w:val="20"/>
        </w:rPr>
        <w:t>a</w:t>
      </w:r>
      <w:r w:rsidRPr="004C0D2D">
        <w:rPr>
          <w:b/>
          <w:sz w:val="20"/>
          <w:szCs w:val="20"/>
        </w:rPr>
        <w:t xml:space="preserve"> 1</w:t>
      </w:r>
      <w:r w:rsidR="0091378E" w:rsidRPr="004C0D2D">
        <w:rPr>
          <w:b/>
          <w:sz w:val="20"/>
          <w:szCs w:val="20"/>
        </w:rPr>
        <w:t>0</w:t>
      </w:r>
      <w:r w:rsidR="004C0D2D" w:rsidRPr="004C0D2D">
        <w:rPr>
          <w:b/>
          <w:sz w:val="20"/>
          <w:szCs w:val="20"/>
        </w:rPr>
        <w:t>: Grado di adiposità (criteri IOTF) in base al reddito familiar</w:t>
      </w:r>
      <w:r w:rsidR="001350FD">
        <w:rPr>
          <w:b/>
          <w:sz w:val="20"/>
          <w:szCs w:val="20"/>
        </w:rPr>
        <w:t>e</w:t>
      </w:r>
      <w:r w:rsidR="004C0D2D" w:rsidRPr="004C0D2D">
        <w:rPr>
          <w:b/>
          <w:sz w:val="20"/>
          <w:szCs w:val="20"/>
        </w:rPr>
        <w:t xml:space="preserve"> in bambini di età 2-5 anni </w:t>
      </w:r>
    </w:p>
    <w:p w:rsidR="00014905" w:rsidRPr="00D84726" w:rsidRDefault="00014905" w:rsidP="00014905">
      <w:pPr>
        <w:spacing w:after="0"/>
        <w:jc w:val="center"/>
      </w:pPr>
      <w:r>
        <w:rPr>
          <w:noProof/>
          <w:lang w:eastAsia="it-IT"/>
        </w:rPr>
        <w:drawing>
          <wp:inline distT="0" distB="0" distL="0" distR="0">
            <wp:extent cx="4045585" cy="2223770"/>
            <wp:effectExtent l="0" t="0" r="0" b="0"/>
            <wp:docPr id="58" name="Oggetto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14905" w:rsidRPr="007A1E3C" w:rsidRDefault="00014905" w:rsidP="007A1E3C">
      <w:pPr>
        <w:jc w:val="center"/>
        <w:rPr>
          <w:b/>
          <w:sz w:val="20"/>
          <w:szCs w:val="20"/>
        </w:rPr>
      </w:pPr>
      <w:r w:rsidRPr="007A1E3C">
        <w:rPr>
          <w:b/>
          <w:sz w:val="20"/>
          <w:szCs w:val="20"/>
        </w:rPr>
        <w:t>Figur</w:t>
      </w:r>
      <w:r w:rsidR="004C0D2D" w:rsidRPr="007A1E3C">
        <w:rPr>
          <w:b/>
          <w:sz w:val="20"/>
          <w:szCs w:val="20"/>
        </w:rPr>
        <w:t>a</w:t>
      </w:r>
      <w:r w:rsidRPr="007A1E3C">
        <w:rPr>
          <w:b/>
          <w:sz w:val="20"/>
          <w:szCs w:val="20"/>
        </w:rPr>
        <w:t xml:space="preserve"> 1</w:t>
      </w:r>
      <w:r w:rsidR="0091378E" w:rsidRPr="007A1E3C">
        <w:rPr>
          <w:b/>
          <w:sz w:val="20"/>
          <w:szCs w:val="20"/>
        </w:rPr>
        <w:t>1</w:t>
      </w:r>
      <w:r w:rsidRPr="007A1E3C">
        <w:rPr>
          <w:b/>
          <w:sz w:val="20"/>
          <w:szCs w:val="20"/>
        </w:rPr>
        <w:t xml:space="preserve">: </w:t>
      </w:r>
      <w:r w:rsidR="001350FD" w:rsidRPr="007A1E3C">
        <w:rPr>
          <w:b/>
          <w:sz w:val="20"/>
          <w:szCs w:val="20"/>
        </w:rPr>
        <w:t>Grado di adiposità (criteri IOTF) in base al reddito familiare in bambini di età 6-9 anni</w:t>
      </w:r>
    </w:p>
    <w:p w:rsidR="0091378E" w:rsidRDefault="0091378E"/>
    <w:p w:rsidR="00E56731" w:rsidRPr="001350FD" w:rsidRDefault="00876F04">
      <w:r>
        <w:t xml:space="preserve">Il livello di attività fisica, considerando in particolare quella moderata-vigorosa considerata la più adeguata per i bambini in questa fase dello sviluppo, era estremamente variabile nei diversi Paesi (Figura 12). </w:t>
      </w:r>
    </w:p>
    <w:p w:rsidR="00E56731" w:rsidRPr="00D84726" w:rsidRDefault="00E56731" w:rsidP="00E56731">
      <w:pPr>
        <w:keepNext/>
        <w:spacing w:after="0" w:line="240" w:lineRule="auto"/>
        <w:jc w:val="center"/>
        <w:rPr>
          <w:szCs w:val="20"/>
        </w:rPr>
      </w:pPr>
      <w:r>
        <w:rPr>
          <w:noProof/>
          <w:lang w:eastAsia="it-IT"/>
        </w:rPr>
        <w:drawing>
          <wp:inline distT="0" distB="0" distL="0" distR="0">
            <wp:extent cx="4361815" cy="2141220"/>
            <wp:effectExtent l="0" t="0" r="0" b="0"/>
            <wp:docPr id="61" name="Oggetto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56731" w:rsidRPr="001350FD" w:rsidRDefault="00E56731" w:rsidP="00E56731">
      <w:pPr>
        <w:jc w:val="center"/>
        <w:rPr>
          <w:b/>
          <w:sz w:val="20"/>
          <w:szCs w:val="20"/>
        </w:rPr>
      </w:pPr>
      <w:r w:rsidRPr="001350FD">
        <w:rPr>
          <w:b/>
          <w:sz w:val="20"/>
          <w:szCs w:val="20"/>
        </w:rPr>
        <w:t>Figur</w:t>
      </w:r>
      <w:r w:rsidR="001350FD" w:rsidRPr="001350FD">
        <w:rPr>
          <w:b/>
          <w:sz w:val="20"/>
          <w:szCs w:val="20"/>
        </w:rPr>
        <w:t>a</w:t>
      </w:r>
      <w:r w:rsidRPr="001350FD">
        <w:rPr>
          <w:b/>
          <w:sz w:val="20"/>
          <w:szCs w:val="20"/>
        </w:rPr>
        <w:t xml:space="preserve"> 1</w:t>
      </w:r>
      <w:r w:rsidR="001350FD" w:rsidRPr="001350FD">
        <w:rPr>
          <w:b/>
          <w:sz w:val="20"/>
          <w:szCs w:val="20"/>
        </w:rPr>
        <w:t>2</w:t>
      </w:r>
      <w:r w:rsidRPr="001350FD">
        <w:rPr>
          <w:b/>
          <w:sz w:val="20"/>
          <w:szCs w:val="20"/>
        </w:rPr>
        <w:t xml:space="preserve">: </w:t>
      </w:r>
      <w:r w:rsidR="001350FD" w:rsidRPr="001350FD">
        <w:rPr>
          <w:b/>
          <w:sz w:val="20"/>
          <w:szCs w:val="20"/>
        </w:rPr>
        <w:t>Tempo impiegato giornalmente nell’esecuzione di attività fisica moderata-vigorosa</w:t>
      </w:r>
      <w:r w:rsidR="001350FD">
        <w:rPr>
          <w:b/>
          <w:sz w:val="20"/>
          <w:szCs w:val="20"/>
        </w:rPr>
        <w:t xml:space="preserve">, misurata mediante </w:t>
      </w:r>
      <w:proofErr w:type="spellStart"/>
      <w:r w:rsidR="001350FD">
        <w:rPr>
          <w:b/>
          <w:sz w:val="20"/>
          <w:szCs w:val="20"/>
        </w:rPr>
        <w:t>accelerometria</w:t>
      </w:r>
      <w:proofErr w:type="spellEnd"/>
      <w:r w:rsidR="001350FD">
        <w:rPr>
          <w:b/>
          <w:sz w:val="20"/>
          <w:szCs w:val="20"/>
        </w:rPr>
        <w:t>, nei Paesi partecipanti al progetto IDEFICS</w:t>
      </w:r>
    </w:p>
    <w:p w:rsidR="00E56731" w:rsidRPr="001350FD" w:rsidRDefault="00E56731"/>
    <w:p w:rsidR="00E377A3" w:rsidRDefault="00E377A3" w:rsidP="00E377A3">
      <w:r>
        <w:lastRenderedPageBreak/>
        <w:t>Tuttavia, considerando specificamente l’attività fisica moderata-vigorosa svolta quotidianamente per più di 60 minuti al giorno,  l’attitudine ad uno stile di vita fisicamente attivo era abbastanza limitata in tutti i Paesi oggetto di studio, con i valori minimi</w:t>
      </w:r>
      <w:r w:rsidR="000E3960">
        <w:t xml:space="preserve"> (7%) proprio in Irpinia.</w:t>
      </w:r>
    </w:p>
    <w:p w:rsidR="000E3960" w:rsidRPr="001350FD" w:rsidRDefault="000E3960" w:rsidP="00E377A3">
      <w:r>
        <w:t>I bambini obesi (Figura 13) mostravano il maggior grado di sedentarietà: praticavano infatti attività fisica moderata-vigorosa per più di 60 minuti al giorno in meno del 10% dei casi, sia tra i bambini dell’asilo che tra quelli delle scuole primarie.</w:t>
      </w:r>
    </w:p>
    <w:p w:rsidR="00E56731" w:rsidRPr="001350FD" w:rsidRDefault="00E56731"/>
    <w:p w:rsidR="00E56731" w:rsidRPr="00D84726" w:rsidRDefault="00266000" w:rsidP="00E56731">
      <w:pPr>
        <w:spacing w:after="0"/>
        <w:jc w:val="center"/>
        <w:rPr>
          <w:szCs w:val="20"/>
        </w:rPr>
      </w:pPr>
      <w:r>
        <w:rPr>
          <w:szCs w:val="20"/>
        </w:rPr>
      </w:r>
      <w:r>
        <w:rPr>
          <w:szCs w:val="20"/>
        </w:rPr>
        <w:pict>
          <v:group id="_x0000_s1044" editas="canvas" style="width:374.45pt;height:183.1pt;mso-position-horizontal-relative:char;mso-position-vertical-relative:line" coordorigin="2199,13228" coordsize="11748,5746">
            <o:lock v:ext="edit" aspectratio="t"/>
            <v:shape id="_x0000_s1045" type="#_x0000_t75" style="position:absolute;left:2199;top:13228;width:11748;height:5746" o:preferrelative="f">
              <v:fill o:detectmouseclick="t"/>
              <v:path o:extrusionok="t" o:connecttype="none"/>
              <o:lock v:ext="edit" text="t"/>
            </v:shape>
            <v:shape id="_x0000_s1046" type="#_x0000_t75" style="position:absolute;left:2199;top:13354;width:6074;height:5523" o:bwpure="highContrast" o:bwnormal="blackTextAndLines" fillcolor="#bbe0e3">
              <v:imagedata r:id="rId30" o:title=""/>
            </v:shape>
            <v:shapetype id="_x0000_t202" coordsize="21600,21600" o:spt="202" path="m,l,21600r21600,l21600,xe">
              <v:stroke joinstyle="miter"/>
              <v:path gradientshapeok="t" o:connecttype="rect"/>
            </v:shapetype>
            <v:shape id="_x0000_s1047" type="#_x0000_t202" style="position:absolute;left:4809;top:13228;width:1110;height:308;v-text-anchor:top-baseline" filled="f" fillcolor="#bbe0e3" stroked="f">
              <v:textbox style="mso-next-textbox:#_x0000_s1047;mso-rotate-with-shape:t" inset="0,0,0,0">
                <w:txbxContent>
                  <w:p w:rsidR="00E56731" w:rsidRPr="00A71844" w:rsidRDefault="00E56731" w:rsidP="00E56731">
                    <w:pPr>
                      <w:autoSpaceDE w:val="0"/>
                      <w:autoSpaceDN w:val="0"/>
                      <w:adjustRightInd w:val="0"/>
                      <w:rPr>
                        <w:rFonts w:ascii="Arial" w:eastAsia="MS PGothic" w:hAnsi="Arial" w:cs="Arial"/>
                        <w:b/>
                        <w:bCs/>
                        <w:color w:val="000000"/>
                        <w:sz w:val="15"/>
                        <w:szCs w:val="18"/>
                      </w:rPr>
                    </w:pPr>
                    <w:r w:rsidRPr="00A71844">
                      <w:rPr>
                        <w:rFonts w:ascii="Arial" w:eastAsia="MS PGothic" w:hAnsi="Arial" w:cs="Arial"/>
                        <w:b/>
                        <w:bCs/>
                        <w:color w:val="0099CC"/>
                        <w:sz w:val="15"/>
                        <w:szCs w:val="18"/>
                      </w:rPr>
                      <w:t xml:space="preserve">2-5 </w:t>
                    </w:r>
                    <w:proofErr w:type="spellStart"/>
                    <w:r w:rsidRPr="00A71844">
                      <w:rPr>
                        <w:rFonts w:ascii="Arial" w:eastAsia="MS PGothic" w:hAnsi="Arial" w:cs="Arial"/>
                        <w:b/>
                        <w:bCs/>
                        <w:color w:val="0099CC"/>
                        <w:sz w:val="15"/>
                        <w:szCs w:val="18"/>
                      </w:rPr>
                      <w:t>years</w:t>
                    </w:r>
                    <w:proofErr w:type="spellEnd"/>
                  </w:p>
                </w:txbxContent>
              </v:textbox>
            </v:shape>
            <v:shape id="_x0000_s1048" type="#_x0000_t202" style="position:absolute;left:4831;top:18706;width:974;height:268;v-text-anchor:top-baseline" stroked="f">
              <v:textbox style="mso-next-textbox:#_x0000_s1048;mso-rotate-with-shape:t" inset="0,0,0,0">
                <w:txbxContent>
                  <w:p w:rsidR="00E56731" w:rsidRPr="00A71844" w:rsidRDefault="00E56731" w:rsidP="00E56731">
                    <w:pPr>
                      <w:autoSpaceDE w:val="0"/>
                      <w:autoSpaceDN w:val="0"/>
                      <w:adjustRightInd w:val="0"/>
                      <w:rPr>
                        <w:rFonts w:ascii="Arial" w:eastAsia="MS PGothic" w:hAnsi="Arial" w:cs="Arial"/>
                        <w:b/>
                        <w:bCs/>
                        <w:color w:val="000000"/>
                        <w:sz w:val="14"/>
                        <w:szCs w:val="28"/>
                      </w:rPr>
                    </w:pPr>
                    <w:r w:rsidRPr="00A71844">
                      <w:rPr>
                        <w:rFonts w:ascii="Arial" w:eastAsia="MS PGothic" w:hAnsi="Arial" w:cs="Arial"/>
                        <w:b/>
                        <w:bCs/>
                        <w:color w:val="000000"/>
                        <w:sz w:val="14"/>
                        <w:szCs w:val="28"/>
                      </w:rPr>
                      <w:t xml:space="preserve">N=3,035  </w:t>
                    </w:r>
                  </w:p>
                </w:txbxContent>
              </v:textbox>
            </v:shape>
            <v:shape id="_x0000_s1049" type="#_x0000_t75" style="position:absolute;left:7873;top:13354;width:6074;height:5523" o:bwpure="highContrast" o:bwnormal="blackTextAndLines" fillcolor="#bbe0e3">
              <v:imagedata r:id="rId31" o:title=""/>
            </v:shape>
            <v:shape id="_x0000_s1050" type="#_x0000_t202" style="position:absolute;left:10479;top:18706;width:974;height:268;v-text-anchor:top-baseline" stroked="f">
              <v:textbox style="mso-next-textbox:#_x0000_s1050;mso-rotate-with-shape:t" inset="0,0,0,0">
                <w:txbxContent>
                  <w:p w:rsidR="00E56731" w:rsidRPr="00A71844" w:rsidRDefault="00E56731" w:rsidP="00E56731">
                    <w:pPr>
                      <w:autoSpaceDE w:val="0"/>
                      <w:autoSpaceDN w:val="0"/>
                      <w:adjustRightInd w:val="0"/>
                      <w:rPr>
                        <w:rFonts w:ascii="Arial" w:eastAsia="MS PGothic" w:hAnsi="Arial" w:cs="Arial"/>
                        <w:b/>
                        <w:bCs/>
                        <w:color w:val="000000"/>
                        <w:sz w:val="14"/>
                        <w:szCs w:val="28"/>
                      </w:rPr>
                    </w:pPr>
                    <w:r w:rsidRPr="00A71844">
                      <w:rPr>
                        <w:rFonts w:ascii="Arial" w:eastAsia="MS PGothic" w:hAnsi="Arial" w:cs="Arial"/>
                        <w:b/>
                        <w:bCs/>
                        <w:color w:val="000000"/>
                        <w:sz w:val="14"/>
                        <w:szCs w:val="28"/>
                      </w:rPr>
                      <w:t xml:space="preserve">N=4,416  </w:t>
                    </w:r>
                  </w:p>
                </w:txbxContent>
              </v:textbox>
            </v:shape>
            <v:shape id="_x0000_s1051" type="#_x0000_t202" style="position:absolute;left:10433;top:13228;width:1110;height:308;v-text-anchor:top-baseline" filled="f" fillcolor="#bbe0e3" stroked="f">
              <v:textbox style="mso-next-textbox:#_x0000_s1051;mso-rotate-with-shape:t" inset="0,0,0,0">
                <w:txbxContent>
                  <w:p w:rsidR="00E56731" w:rsidRPr="00A71844" w:rsidRDefault="00E56731" w:rsidP="00E56731">
                    <w:pPr>
                      <w:autoSpaceDE w:val="0"/>
                      <w:autoSpaceDN w:val="0"/>
                      <w:adjustRightInd w:val="0"/>
                      <w:rPr>
                        <w:rFonts w:ascii="Arial" w:eastAsia="MS PGothic" w:hAnsi="Arial" w:cs="Arial"/>
                        <w:b/>
                        <w:bCs/>
                        <w:color w:val="000000"/>
                        <w:sz w:val="15"/>
                        <w:szCs w:val="18"/>
                      </w:rPr>
                    </w:pPr>
                    <w:r w:rsidRPr="00A71844">
                      <w:rPr>
                        <w:rFonts w:ascii="Arial" w:eastAsia="MS PGothic" w:hAnsi="Arial" w:cs="Arial"/>
                        <w:b/>
                        <w:bCs/>
                        <w:color w:val="0099CC"/>
                        <w:sz w:val="15"/>
                        <w:szCs w:val="18"/>
                      </w:rPr>
                      <w:t xml:space="preserve">6-9 </w:t>
                    </w:r>
                    <w:proofErr w:type="spellStart"/>
                    <w:r w:rsidRPr="00A71844">
                      <w:rPr>
                        <w:rFonts w:ascii="Arial" w:eastAsia="MS PGothic" w:hAnsi="Arial" w:cs="Arial"/>
                        <w:b/>
                        <w:bCs/>
                        <w:color w:val="0099CC"/>
                        <w:sz w:val="15"/>
                        <w:szCs w:val="18"/>
                      </w:rPr>
                      <w:t>years</w:t>
                    </w:r>
                    <w:proofErr w:type="spellEnd"/>
                  </w:p>
                </w:txbxContent>
              </v:textbox>
            </v:shape>
            <w10:wrap type="none"/>
            <w10:anchorlock/>
          </v:group>
          <o:OLEObject Type="Embed" ProgID="MSGraph.Chart.8" ShapeID="_x0000_s1046" DrawAspect="Content" ObjectID="_1405494525" r:id="rId32">
            <o:FieldCodes>\s</o:FieldCodes>
          </o:OLEObject>
          <o:OLEObject Type="Embed" ProgID="MSGraph.Chart.8" ShapeID="_x0000_s1049" DrawAspect="Content" ObjectID="_1405494526" r:id="rId33">
            <o:FieldCodes>\s</o:FieldCodes>
          </o:OLEObject>
        </w:pict>
      </w:r>
    </w:p>
    <w:p w:rsidR="00E56731" w:rsidRPr="000E3960" w:rsidRDefault="00E56731" w:rsidP="00E56731">
      <w:pPr>
        <w:jc w:val="center"/>
        <w:rPr>
          <w:b/>
          <w:bCs/>
          <w:sz w:val="20"/>
          <w:szCs w:val="20"/>
        </w:rPr>
      </w:pPr>
      <w:r w:rsidRPr="000E3960">
        <w:rPr>
          <w:b/>
          <w:sz w:val="20"/>
          <w:szCs w:val="20"/>
        </w:rPr>
        <w:t>Figur</w:t>
      </w:r>
      <w:r w:rsidR="00E377A3" w:rsidRPr="000E3960">
        <w:rPr>
          <w:b/>
          <w:sz w:val="20"/>
          <w:szCs w:val="20"/>
        </w:rPr>
        <w:t>a</w:t>
      </w:r>
      <w:r w:rsidRPr="000E3960">
        <w:rPr>
          <w:b/>
          <w:sz w:val="20"/>
          <w:szCs w:val="20"/>
        </w:rPr>
        <w:t xml:space="preserve"> 1</w:t>
      </w:r>
      <w:r w:rsidR="00E377A3" w:rsidRPr="000E3960">
        <w:rPr>
          <w:b/>
          <w:sz w:val="20"/>
          <w:szCs w:val="20"/>
        </w:rPr>
        <w:t>3</w:t>
      </w:r>
      <w:r w:rsidRPr="000E3960">
        <w:rPr>
          <w:b/>
          <w:sz w:val="20"/>
          <w:szCs w:val="20"/>
        </w:rPr>
        <w:t xml:space="preserve">: </w:t>
      </w:r>
      <w:r w:rsidR="000E3960" w:rsidRPr="000E3960">
        <w:rPr>
          <w:b/>
          <w:bCs/>
          <w:sz w:val="20"/>
          <w:szCs w:val="20"/>
        </w:rPr>
        <w:t>Attività fisica moderata-vigorosa in base all’età e al grado di adiposità</w:t>
      </w:r>
    </w:p>
    <w:p w:rsidR="00E56731" w:rsidRPr="000E3960" w:rsidRDefault="00E56731"/>
    <w:p w:rsidR="00E56731" w:rsidRPr="000E3960" w:rsidRDefault="003C5779" w:rsidP="003C5779">
      <w:pPr>
        <w:jc w:val="both"/>
      </w:pPr>
      <w:r>
        <w:t xml:space="preserve">Il progetto IDEFICS ha studiato in dettaglio anche le relazioni tra durata del sonno e obesità in età pediatrica. La durata del sonno notturno </w:t>
      </w:r>
      <w:r w:rsidR="007F3A4E">
        <w:t xml:space="preserve">(Figura 14) </w:t>
      </w:r>
      <w:r>
        <w:t>varia in media considerevolmente nei diversi Paesi europei</w:t>
      </w:r>
      <w:r w:rsidR="007F3A4E">
        <w:t>, da un minimo di poco più di 9 ore in Italia ad un massimo di circa 11 ore a notte per il Belgio</w:t>
      </w:r>
    </w:p>
    <w:p w:rsidR="00E56731" w:rsidRPr="00D84726" w:rsidRDefault="00E56731" w:rsidP="00E56731">
      <w:pPr>
        <w:keepNext/>
        <w:spacing w:before="120" w:after="0" w:line="240" w:lineRule="auto"/>
        <w:jc w:val="center"/>
        <w:rPr>
          <w:b/>
          <w:bCs/>
        </w:rPr>
      </w:pPr>
      <w:r>
        <w:rPr>
          <w:b/>
          <w:bCs/>
          <w:noProof/>
          <w:lang w:eastAsia="it-IT"/>
        </w:rPr>
        <w:drawing>
          <wp:inline distT="0" distB="0" distL="0" distR="0">
            <wp:extent cx="2027555" cy="2785110"/>
            <wp:effectExtent l="400050" t="0" r="37274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l="3513" t="3865" r="4214" b="18896"/>
                    <a:stretch>
                      <a:fillRect/>
                    </a:stretch>
                  </pic:blipFill>
                  <pic:spPr bwMode="auto">
                    <a:xfrm rot="5400000">
                      <a:off x="0" y="0"/>
                      <a:ext cx="2027555" cy="2785110"/>
                    </a:xfrm>
                    <a:prstGeom prst="rect">
                      <a:avLst/>
                    </a:prstGeom>
                    <a:noFill/>
                    <a:ln w="9525">
                      <a:noFill/>
                      <a:miter lim="800000"/>
                      <a:headEnd/>
                      <a:tailEnd/>
                    </a:ln>
                  </pic:spPr>
                </pic:pic>
              </a:graphicData>
            </a:graphic>
          </wp:inline>
        </w:drawing>
      </w:r>
    </w:p>
    <w:p w:rsidR="00E56731" w:rsidRPr="007F3A4E" w:rsidRDefault="00E56731" w:rsidP="00E56731">
      <w:pPr>
        <w:jc w:val="center"/>
        <w:rPr>
          <w:b/>
          <w:sz w:val="20"/>
          <w:szCs w:val="20"/>
        </w:rPr>
      </w:pPr>
      <w:r w:rsidRPr="007F3A4E">
        <w:rPr>
          <w:b/>
          <w:sz w:val="20"/>
          <w:szCs w:val="20"/>
        </w:rPr>
        <w:t>Figur</w:t>
      </w:r>
      <w:r w:rsidR="007F3A4E" w:rsidRPr="007F3A4E">
        <w:rPr>
          <w:b/>
          <w:sz w:val="20"/>
          <w:szCs w:val="20"/>
        </w:rPr>
        <w:t>a</w:t>
      </w:r>
      <w:r w:rsidRPr="007F3A4E">
        <w:rPr>
          <w:b/>
          <w:sz w:val="20"/>
          <w:szCs w:val="20"/>
        </w:rPr>
        <w:t xml:space="preserve"> 1</w:t>
      </w:r>
      <w:r w:rsidR="007F3A4E" w:rsidRPr="007F3A4E">
        <w:rPr>
          <w:b/>
          <w:sz w:val="20"/>
          <w:szCs w:val="20"/>
        </w:rPr>
        <w:t>4</w:t>
      </w:r>
      <w:r w:rsidRPr="007F3A4E">
        <w:rPr>
          <w:b/>
          <w:sz w:val="20"/>
          <w:szCs w:val="20"/>
        </w:rPr>
        <w:t xml:space="preserve">: </w:t>
      </w:r>
      <w:r w:rsidR="007F3A4E" w:rsidRPr="007F3A4E">
        <w:rPr>
          <w:b/>
          <w:bCs/>
          <w:sz w:val="20"/>
          <w:szCs w:val="20"/>
        </w:rPr>
        <w:t>Durata medio del sonno in bambini in età pediatrica nei Paesi europei partecipanti al progetto IDEFICS</w:t>
      </w:r>
      <w:r w:rsidRPr="007F3A4E">
        <w:rPr>
          <w:b/>
          <w:sz w:val="20"/>
          <w:szCs w:val="20"/>
        </w:rPr>
        <w:t xml:space="preserve"> </w:t>
      </w:r>
    </w:p>
    <w:p w:rsidR="00E56731" w:rsidRPr="007F3A4E" w:rsidRDefault="00E56731" w:rsidP="00E56731">
      <w:pPr>
        <w:spacing w:after="0" w:line="240" w:lineRule="auto"/>
        <w:jc w:val="center"/>
        <w:rPr>
          <w:b/>
          <w:sz w:val="12"/>
          <w:szCs w:val="12"/>
        </w:rPr>
      </w:pPr>
    </w:p>
    <w:p w:rsidR="00BA0B77" w:rsidRPr="00236A58" w:rsidRDefault="00236A58" w:rsidP="00236A58">
      <w:pPr>
        <w:keepNext/>
        <w:spacing w:after="0"/>
        <w:jc w:val="both"/>
        <w:rPr>
          <w:sz w:val="20"/>
          <w:szCs w:val="20"/>
        </w:rPr>
      </w:pPr>
      <w:r w:rsidRPr="007A1E3C">
        <w:t xml:space="preserve">La durata del sonno si è rivelata essere associata, per la prima volta in un campione così ampio di bambini in età scolare, ad un rischio significativamente più elevato di sovrappeso ed obesità. In particolare, i </w:t>
      </w:r>
      <w:r w:rsidRPr="007A1E3C">
        <w:lastRenderedPageBreak/>
        <w:t>bambini che dormono abitualmente meno di 9 ore a notte hanno un rischio quasi doppio di essere in sovrappeso rispetto ai bambini che dormono almeno 11 ore al giorno (Tabella 2).</w:t>
      </w:r>
    </w:p>
    <w:p w:rsidR="00BA0B77" w:rsidRDefault="00BA0B77" w:rsidP="00E56731">
      <w:pPr>
        <w:keepNext/>
        <w:spacing w:after="0"/>
        <w:jc w:val="center"/>
        <w:rPr>
          <w:b/>
          <w:sz w:val="20"/>
          <w:szCs w:val="20"/>
        </w:rPr>
      </w:pPr>
    </w:p>
    <w:p w:rsidR="00E56731" w:rsidRPr="007F3A4E" w:rsidRDefault="00E56731" w:rsidP="00E56731">
      <w:pPr>
        <w:keepNext/>
        <w:spacing w:after="0"/>
        <w:jc w:val="center"/>
        <w:rPr>
          <w:b/>
          <w:bCs/>
          <w:sz w:val="20"/>
          <w:szCs w:val="20"/>
        </w:rPr>
      </w:pPr>
      <w:r w:rsidRPr="007F3A4E">
        <w:rPr>
          <w:b/>
          <w:sz w:val="20"/>
          <w:szCs w:val="20"/>
        </w:rPr>
        <w:t>Tab</w:t>
      </w:r>
      <w:r w:rsidR="007F3A4E">
        <w:rPr>
          <w:b/>
          <w:sz w:val="20"/>
          <w:szCs w:val="20"/>
        </w:rPr>
        <w:t>ella</w:t>
      </w:r>
      <w:r w:rsidRPr="007F3A4E">
        <w:rPr>
          <w:b/>
          <w:sz w:val="20"/>
          <w:szCs w:val="20"/>
        </w:rPr>
        <w:t xml:space="preserve"> </w:t>
      </w:r>
      <w:r w:rsidR="007F3A4E" w:rsidRPr="007F3A4E">
        <w:rPr>
          <w:b/>
          <w:sz w:val="20"/>
          <w:szCs w:val="20"/>
        </w:rPr>
        <w:t>2</w:t>
      </w:r>
      <w:r w:rsidRPr="007F3A4E">
        <w:rPr>
          <w:b/>
          <w:sz w:val="20"/>
          <w:szCs w:val="20"/>
        </w:rPr>
        <w:t xml:space="preserve">: </w:t>
      </w:r>
      <w:r w:rsidR="007F3A4E" w:rsidRPr="007F3A4E">
        <w:rPr>
          <w:b/>
          <w:sz w:val="20"/>
          <w:szCs w:val="20"/>
        </w:rPr>
        <w:t>Rischio relativo (</w:t>
      </w:r>
      <w:r w:rsidRPr="007F3A4E">
        <w:rPr>
          <w:b/>
          <w:sz w:val="20"/>
          <w:szCs w:val="20"/>
        </w:rPr>
        <w:t xml:space="preserve">95% </w:t>
      </w:r>
      <w:r w:rsidR="007F3A4E" w:rsidRPr="007F3A4E">
        <w:rPr>
          <w:b/>
          <w:sz w:val="20"/>
          <w:szCs w:val="20"/>
        </w:rPr>
        <w:t>I</w:t>
      </w:r>
      <w:r w:rsidRPr="007F3A4E">
        <w:rPr>
          <w:b/>
          <w:sz w:val="20"/>
          <w:szCs w:val="20"/>
        </w:rPr>
        <w:t xml:space="preserve">C) </w:t>
      </w:r>
      <w:r w:rsidR="007F3A4E" w:rsidRPr="007F3A4E">
        <w:rPr>
          <w:b/>
          <w:sz w:val="20"/>
          <w:szCs w:val="20"/>
        </w:rPr>
        <w:t xml:space="preserve">di sviluppo di sovrappeso in base alla durata del sonno notturno (categoria di riferimento: </w:t>
      </w:r>
      <w:r w:rsidRPr="007F3A4E">
        <w:rPr>
          <w:b/>
          <w:bCs/>
          <w:sz w:val="20"/>
          <w:szCs w:val="20"/>
        </w:rPr>
        <w:t xml:space="preserve">&gt;11 </w:t>
      </w:r>
      <w:r w:rsidR="007F3A4E" w:rsidRPr="007F3A4E">
        <w:rPr>
          <w:b/>
          <w:bCs/>
          <w:sz w:val="20"/>
          <w:szCs w:val="20"/>
        </w:rPr>
        <w:t>ore</w:t>
      </w:r>
      <w:r w:rsidRPr="007F3A4E">
        <w:rPr>
          <w:b/>
          <w:bCs/>
          <w:sz w:val="20"/>
          <w:szCs w:val="20"/>
        </w:rPr>
        <w:t>)</w:t>
      </w:r>
    </w:p>
    <w:tbl>
      <w:tblPr>
        <w:tblW w:w="748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898"/>
        <w:gridCol w:w="1857"/>
        <w:gridCol w:w="1855"/>
        <w:gridCol w:w="1875"/>
      </w:tblGrid>
      <w:tr w:rsidR="00E56731" w:rsidRPr="00922528" w:rsidTr="00EF70CB">
        <w:trPr>
          <w:trHeight w:val="181"/>
          <w:tblCellSpacing w:w="20" w:type="dxa"/>
          <w:jc w:val="center"/>
        </w:trPr>
        <w:tc>
          <w:tcPr>
            <w:tcW w:w="1838" w:type="dxa"/>
            <w:shd w:val="clear" w:color="auto" w:fill="auto"/>
            <w:vAlign w:val="center"/>
          </w:tcPr>
          <w:p w:rsidR="00E56731" w:rsidRPr="00922528" w:rsidRDefault="007F3A4E" w:rsidP="00EF70CB">
            <w:pPr>
              <w:keepNext/>
              <w:spacing w:after="0"/>
              <w:rPr>
                <w:b/>
                <w:sz w:val="20"/>
                <w:szCs w:val="20"/>
              </w:rPr>
            </w:pPr>
            <w:r>
              <w:rPr>
                <w:b/>
                <w:sz w:val="20"/>
                <w:szCs w:val="20"/>
              </w:rPr>
              <w:t xml:space="preserve">Rischio </w:t>
            </w:r>
            <w:proofErr w:type="spellStart"/>
            <w:r>
              <w:rPr>
                <w:b/>
                <w:sz w:val="20"/>
                <w:szCs w:val="20"/>
              </w:rPr>
              <w:t>relativo</w:t>
            </w:r>
            <w:r w:rsidR="00E56731" w:rsidRPr="00922528">
              <w:rPr>
                <w:b/>
                <w:sz w:val="20"/>
                <w:szCs w:val="20"/>
              </w:rPr>
              <w:t>*</w:t>
            </w:r>
            <w:proofErr w:type="spellEnd"/>
          </w:p>
        </w:tc>
        <w:tc>
          <w:tcPr>
            <w:tcW w:w="1817" w:type="dxa"/>
            <w:shd w:val="clear" w:color="auto" w:fill="auto"/>
            <w:vAlign w:val="center"/>
          </w:tcPr>
          <w:p w:rsidR="00E56731" w:rsidRPr="00922528" w:rsidRDefault="00E56731" w:rsidP="00FE57AE">
            <w:pPr>
              <w:keepNext/>
              <w:jc w:val="center"/>
              <w:rPr>
                <w:sz w:val="20"/>
                <w:szCs w:val="20"/>
              </w:rPr>
            </w:pPr>
            <w:r w:rsidRPr="00922528">
              <w:rPr>
                <w:b/>
                <w:bCs/>
                <w:sz w:val="20"/>
                <w:szCs w:val="20"/>
              </w:rPr>
              <w:t>&gt;10</w:t>
            </w:r>
            <w:r w:rsidR="007F3A4E">
              <w:rPr>
                <w:b/>
                <w:bCs/>
                <w:sz w:val="20"/>
                <w:szCs w:val="20"/>
              </w:rPr>
              <w:t xml:space="preserve"> e</w:t>
            </w:r>
            <w:r w:rsidRPr="00922528">
              <w:rPr>
                <w:b/>
                <w:bCs/>
                <w:sz w:val="20"/>
                <w:szCs w:val="20"/>
              </w:rPr>
              <w:t xml:space="preserve"> ≤11</w:t>
            </w:r>
            <w:r w:rsidR="007F3A4E">
              <w:rPr>
                <w:b/>
                <w:bCs/>
                <w:sz w:val="20"/>
                <w:szCs w:val="20"/>
              </w:rPr>
              <w:t xml:space="preserve"> ore</w:t>
            </w:r>
          </w:p>
        </w:tc>
        <w:tc>
          <w:tcPr>
            <w:tcW w:w="1815" w:type="dxa"/>
            <w:shd w:val="clear" w:color="auto" w:fill="auto"/>
            <w:vAlign w:val="center"/>
          </w:tcPr>
          <w:p w:rsidR="00E56731" w:rsidRPr="00922528" w:rsidRDefault="00E56731" w:rsidP="007F3A4E">
            <w:pPr>
              <w:keepNext/>
              <w:jc w:val="center"/>
              <w:rPr>
                <w:sz w:val="20"/>
                <w:szCs w:val="20"/>
              </w:rPr>
            </w:pPr>
            <w:r w:rsidRPr="00922528">
              <w:rPr>
                <w:b/>
                <w:bCs/>
                <w:sz w:val="20"/>
                <w:szCs w:val="20"/>
              </w:rPr>
              <w:t>&gt;9</w:t>
            </w:r>
            <w:r w:rsidR="007F3A4E">
              <w:rPr>
                <w:b/>
                <w:bCs/>
                <w:sz w:val="20"/>
                <w:szCs w:val="20"/>
              </w:rPr>
              <w:t xml:space="preserve"> e </w:t>
            </w:r>
            <w:r w:rsidR="00FE57AE" w:rsidRPr="00922528">
              <w:rPr>
                <w:b/>
                <w:bCs/>
                <w:sz w:val="20"/>
                <w:szCs w:val="20"/>
              </w:rPr>
              <w:t>≤</w:t>
            </w:r>
            <w:r w:rsidRPr="00922528">
              <w:rPr>
                <w:b/>
                <w:bCs/>
                <w:sz w:val="20"/>
                <w:szCs w:val="20"/>
              </w:rPr>
              <w:t>10</w:t>
            </w:r>
            <w:r w:rsidR="007F3A4E">
              <w:rPr>
                <w:b/>
                <w:bCs/>
                <w:sz w:val="20"/>
                <w:szCs w:val="20"/>
              </w:rPr>
              <w:t xml:space="preserve"> ore</w:t>
            </w:r>
          </w:p>
        </w:tc>
        <w:tc>
          <w:tcPr>
            <w:tcW w:w="1815" w:type="dxa"/>
            <w:shd w:val="clear" w:color="auto" w:fill="auto"/>
            <w:vAlign w:val="center"/>
          </w:tcPr>
          <w:p w:rsidR="00E56731" w:rsidRPr="00922528" w:rsidRDefault="00E56731" w:rsidP="007F3A4E">
            <w:pPr>
              <w:keepNext/>
              <w:jc w:val="center"/>
              <w:rPr>
                <w:sz w:val="20"/>
                <w:szCs w:val="20"/>
              </w:rPr>
            </w:pPr>
            <w:r w:rsidRPr="00922528">
              <w:rPr>
                <w:b/>
                <w:bCs/>
                <w:sz w:val="20"/>
                <w:szCs w:val="20"/>
              </w:rPr>
              <w:t xml:space="preserve">≤ 9 </w:t>
            </w:r>
            <w:r w:rsidR="007F3A4E">
              <w:rPr>
                <w:b/>
                <w:bCs/>
                <w:sz w:val="20"/>
                <w:szCs w:val="20"/>
              </w:rPr>
              <w:t>ore</w:t>
            </w:r>
          </w:p>
        </w:tc>
      </w:tr>
      <w:tr w:rsidR="00E56731" w:rsidRPr="00922528" w:rsidTr="00EF70CB">
        <w:trPr>
          <w:trHeight w:val="181"/>
          <w:tblCellSpacing w:w="20" w:type="dxa"/>
          <w:jc w:val="center"/>
        </w:trPr>
        <w:tc>
          <w:tcPr>
            <w:tcW w:w="1838" w:type="dxa"/>
            <w:shd w:val="clear" w:color="auto" w:fill="auto"/>
            <w:vAlign w:val="center"/>
          </w:tcPr>
          <w:p w:rsidR="00E56731" w:rsidRPr="00922528" w:rsidRDefault="00E56731" w:rsidP="007F3A4E">
            <w:pPr>
              <w:keepNext/>
              <w:rPr>
                <w:sz w:val="20"/>
                <w:szCs w:val="20"/>
              </w:rPr>
            </w:pPr>
            <w:r w:rsidRPr="00922528">
              <w:rPr>
                <w:sz w:val="20"/>
                <w:szCs w:val="20"/>
              </w:rPr>
              <w:t xml:space="preserve">    </w:t>
            </w:r>
            <w:r w:rsidR="007F3A4E">
              <w:rPr>
                <w:sz w:val="20"/>
                <w:szCs w:val="20"/>
              </w:rPr>
              <w:t>2-5 anni</w:t>
            </w:r>
          </w:p>
        </w:tc>
        <w:tc>
          <w:tcPr>
            <w:tcW w:w="1817" w:type="dxa"/>
            <w:shd w:val="clear" w:color="auto" w:fill="auto"/>
            <w:vAlign w:val="center"/>
          </w:tcPr>
          <w:p w:rsidR="00E56731" w:rsidRPr="00922528" w:rsidRDefault="00E56731" w:rsidP="00EF70CB">
            <w:pPr>
              <w:keepNext/>
              <w:jc w:val="center"/>
              <w:rPr>
                <w:sz w:val="20"/>
                <w:szCs w:val="20"/>
              </w:rPr>
            </w:pPr>
            <w:r w:rsidRPr="00922528">
              <w:rPr>
                <w:sz w:val="20"/>
                <w:szCs w:val="20"/>
              </w:rPr>
              <w:t>1.0 (0.7; 1.3)</w:t>
            </w:r>
          </w:p>
        </w:tc>
        <w:tc>
          <w:tcPr>
            <w:tcW w:w="1815" w:type="dxa"/>
            <w:shd w:val="clear" w:color="auto" w:fill="auto"/>
            <w:vAlign w:val="center"/>
          </w:tcPr>
          <w:p w:rsidR="00E56731" w:rsidRPr="00922528" w:rsidRDefault="00E56731" w:rsidP="00EF70CB">
            <w:pPr>
              <w:keepNext/>
              <w:jc w:val="center"/>
              <w:rPr>
                <w:sz w:val="20"/>
                <w:szCs w:val="20"/>
              </w:rPr>
            </w:pPr>
            <w:r w:rsidRPr="00922528">
              <w:rPr>
                <w:sz w:val="20"/>
                <w:szCs w:val="20"/>
              </w:rPr>
              <w:t>1.1 (0.8; 1.5)</w:t>
            </w:r>
          </w:p>
        </w:tc>
        <w:tc>
          <w:tcPr>
            <w:tcW w:w="1815" w:type="dxa"/>
            <w:shd w:val="clear" w:color="auto" w:fill="auto"/>
            <w:vAlign w:val="center"/>
          </w:tcPr>
          <w:p w:rsidR="00E56731" w:rsidRPr="00922528" w:rsidRDefault="00E56731" w:rsidP="00EF70CB">
            <w:pPr>
              <w:keepNext/>
              <w:jc w:val="center"/>
              <w:rPr>
                <w:sz w:val="20"/>
                <w:szCs w:val="20"/>
              </w:rPr>
            </w:pPr>
            <w:r w:rsidRPr="00922528">
              <w:rPr>
                <w:sz w:val="20"/>
                <w:szCs w:val="20"/>
              </w:rPr>
              <w:t>1.2 (0.9; 1.8)</w:t>
            </w:r>
          </w:p>
        </w:tc>
      </w:tr>
      <w:tr w:rsidR="00E56731" w:rsidRPr="00922528" w:rsidTr="00EF70CB">
        <w:trPr>
          <w:trHeight w:val="181"/>
          <w:tblCellSpacing w:w="20" w:type="dxa"/>
          <w:jc w:val="center"/>
        </w:trPr>
        <w:tc>
          <w:tcPr>
            <w:tcW w:w="1838" w:type="dxa"/>
            <w:shd w:val="clear" w:color="auto" w:fill="auto"/>
            <w:vAlign w:val="center"/>
          </w:tcPr>
          <w:p w:rsidR="00E56731" w:rsidRPr="00922528" w:rsidRDefault="00E56731" w:rsidP="007F3A4E">
            <w:pPr>
              <w:keepNext/>
              <w:rPr>
                <w:sz w:val="20"/>
                <w:szCs w:val="20"/>
              </w:rPr>
            </w:pPr>
            <w:r w:rsidRPr="00922528">
              <w:rPr>
                <w:sz w:val="20"/>
                <w:szCs w:val="20"/>
              </w:rPr>
              <w:t xml:space="preserve">    </w:t>
            </w:r>
            <w:r w:rsidR="007F3A4E">
              <w:rPr>
                <w:sz w:val="20"/>
                <w:szCs w:val="20"/>
              </w:rPr>
              <w:t>6-9 anni</w:t>
            </w:r>
          </w:p>
        </w:tc>
        <w:tc>
          <w:tcPr>
            <w:tcW w:w="1817" w:type="dxa"/>
            <w:shd w:val="clear" w:color="auto" w:fill="auto"/>
            <w:vAlign w:val="center"/>
          </w:tcPr>
          <w:p w:rsidR="00E56731" w:rsidRPr="00922528" w:rsidRDefault="00E56731" w:rsidP="00EF70CB">
            <w:pPr>
              <w:keepNext/>
              <w:jc w:val="center"/>
              <w:rPr>
                <w:sz w:val="20"/>
                <w:szCs w:val="20"/>
              </w:rPr>
            </w:pPr>
            <w:r w:rsidRPr="00922528">
              <w:rPr>
                <w:sz w:val="20"/>
                <w:szCs w:val="20"/>
              </w:rPr>
              <w:t>1.4 (1.1; 2.0)</w:t>
            </w:r>
          </w:p>
        </w:tc>
        <w:tc>
          <w:tcPr>
            <w:tcW w:w="1815" w:type="dxa"/>
            <w:shd w:val="clear" w:color="auto" w:fill="auto"/>
            <w:vAlign w:val="center"/>
          </w:tcPr>
          <w:p w:rsidR="00E56731" w:rsidRPr="00922528" w:rsidRDefault="00E56731" w:rsidP="00EF70CB">
            <w:pPr>
              <w:keepNext/>
              <w:jc w:val="center"/>
              <w:rPr>
                <w:sz w:val="20"/>
                <w:szCs w:val="20"/>
              </w:rPr>
            </w:pPr>
            <w:r w:rsidRPr="00922528">
              <w:rPr>
                <w:sz w:val="20"/>
                <w:szCs w:val="20"/>
              </w:rPr>
              <w:t>1.7 (1.3; 2.4)</w:t>
            </w:r>
          </w:p>
        </w:tc>
        <w:tc>
          <w:tcPr>
            <w:tcW w:w="1815" w:type="dxa"/>
            <w:shd w:val="clear" w:color="auto" w:fill="auto"/>
            <w:vAlign w:val="center"/>
          </w:tcPr>
          <w:p w:rsidR="00E56731" w:rsidRPr="00922528" w:rsidRDefault="00E56731" w:rsidP="00EF70CB">
            <w:pPr>
              <w:keepNext/>
              <w:jc w:val="center"/>
              <w:rPr>
                <w:sz w:val="20"/>
                <w:szCs w:val="20"/>
              </w:rPr>
            </w:pPr>
            <w:r w:rsidRPr="00922528">
              <w:rPr>
                <w:sz w:val="20"/>
                <w:szCs w:val="20"/>
              </w:rPr>
              <w:t>3.0 (2.2; 4.4)</w:t>
            </w:r>
          </w:p>
        </w:tc>
      </w:tr>
      <w:tr w:rsidR="00E56731" w:rsidRPr="00922528" w:rsidTr="00EF70CB">
        <w:trPr>
          <w:trHeight w:val="181"/>
          <w:tblCellSpacing w:w="20" w:type="dxa"/>
          <w:jc w:val="center"/>
        </w:trPr>
        <w:tc>
          <w:tcPr>
            <w:tcW w:w="1838" w:type="dxa"/>
            <w:shd w:val="clear" w:color="auto" w:fill="auto"/>
            <w:vAlign w:val="center"/>
          </w:tcPr>
          <w:p w:rsidR="00E56731" w:rsidRPr="00922528" w:rsidRDefault="00E56731" w:rsidP="00EF70CB">
            <w:pPr>
              <w:keepNext/>
              <w:rPr>
                <w:sz w:val="20"/>
                <w:szCs w:val="20"/>
              </w:rPr>
            </w:pPr>
            <w:r w:rsidRPr="00922528">
              <w:rPr>
                <w:b/>
                <w:bCs/>
                <w:sz w:val="20"/>
                <w:szCs w:val="20"/>
              </w:rPr>
              <w:t xml:space="preserve">    TOTAL</w:t>
            </w:r>
            <w:r w:rsidR="007F3A4E">
              <w:rPr>
                <w:b/>
                <w:bCs/>
                <w:sz w:val="20"/>
                <w:szCs w:val="20"/>
              </w:rPr>
              <w:t>E</w:t>
            </w:r>
          </w:p>
        </w:tc>
        <w:tc>
          <w:tcPr>
            <w:tcW w:w="1817" w:type="dxa"/>
            <w:shd w:val="clear" w:color="auto" w:fill="auto"/>
            <w:vAlign w:val="center"/>
          </w:tcPr>
          <w:p w:rsidR="00E56731" w:rsidRPr="00922528" w:rsidRDefault="00E56731" w:rsidP="00EF70CB">
            <w:pPr>
              <w:keepNext/>
              <w:jc w:val="center"/>
              <w:rPr>
                <w:sz w:val="20"/>
                <w:szCs w:val="20"/>
              </w:rPr>
            </w:pPr>
            <w:r w:rsidRPr="00922528">
              <w:rPr>
                <w:b/>
                <w:bCs/>
                <w:sz w:val="20"/>
                <w:szCs w:val="20"/>
              </w:rPr>
              <w:t>1.1 (0.9; 1.4)</w:t>
            </w:r>
          </w:p>
        </w:tc>
        <w:tc>
          <w:tcPr>
            <w:tcW w:w="1815" w:type="dxa"/>
            <w:shd w:val="clear" w:color="auto" w:fill="auto"/>
            <w:vAlign w:val="center"/>
          </w:tcPr>
          <w:p w:rsidR="00E56731" w:rsidRPr="00922528" w:rsidRDefault="00E56731" w:rsidP="00EF70CB">
            <w:pPr>
              <w:keepNext/>
              <w:jc w:val="center"/>
              <w:rPr>
                <w:sz w:val="20"/>
                <w:szCs w:val="20"/>
              </w:rPr>
            </w:pPr>
            <w:r w:rsidRPr="00922528">
              <w:rPr>
                <w:b/>
                <w:bCs/>
                <w:sz w:val="20"/>
                <w:szCs w:val="20"/>
              </w:rPr>
              <w:t>1.3 (1.1; 1.7)</w:t>
            </w:r>
          </w:p>
        </w:tc>
        <w:tc>
          <w:tcPr>
            <w:tcW w:w="1815" w:type="dxa"/>
            <w:shd w:val="clear" w:color="auto" w:fill="auto"/>
            <w:vAlign w:val="center"/>
          </w:tcPr>
          <w:p w:rsidR="00E56731" w:rsidRPr="00922528" w:rsidRDefault="00E56731" w:rsidP="00EF70CB">
            <w:pPr>
              <w:keepNext/>
              <w:jc w:val="center"/>
              <w:rPr>
                <w:sz w:val="20"/>
                <w:szCs w:val="20"/>
              </w:rPr>
            </w:pPr>
            <w:r w:rsidRPr="00922528">
              <w:rPr>
                <w:b/>
                <w:bCs/>
                <w:sz w:val="20"/>
                <w:szCs w:val="20"/>
              </w:rPr>
              <w:t>1.9 (1.6; 2.5)</w:t>
            </w:r>
          </w:p>
        </w:tc>
      </w:tr>
    </w:tbl>
    <w:p w:rsidR="00E56731" w:rsidRPr="007F3A4E" w:rsidRDefault="00E56731" w:rsidP="00E56731">
      <w:pPr>
        <w:widowControl w:val="0"/>
        <w:spacing w:before="60" w:after="0"/>
        <w:ind w:firstLine="720"/>
        <w:rPr>
          <w:bCs/>
          <w:sz w:val="20"/>
          <w:szCs w:val="20"/>
        </w:rPr>
      </w:pPr>
      <w:r w:rsidRPr="007F3A4E">
        <w:rPr>
          <w:bCs/>
          <w:sz w:val="20"/>
          <w:szCs w:val="20"/>
        </w:rPr>
        <w:t xml:space="preserve">* </w:t>
      </w:r>
      <w:r w:rsidR="007F3A4E" w:rsidRPr="007F3A4E">
        <w:rPr>
          <w:bCs/>
          <w:sz w:val="20"/>
          <w:szCs w:val="20"/>
        </w:rPr>
        <w:t>Corretto per genere, età, livello di istruzione dei genitori, uso della TV, paese di provenienza</w:t>
      </w:r>
    </w:p>
    <w:p w:rsidR="00E56731" w:rsidRPr="007F3A4E" w:rsidRDefault="00E56731"/>
    <w:p w:rsidR="00E56731" w:rsidRPr="007F3A4E" w:rsidRDefault="00A85010">
      <w:r>
        <w:t xml:space="preserve">Come atteso, pressione arteriosa (Figura 15), grado di </w:t>
      </w:r>
      <w:proofErr w:type="spellStart"/>
      <w:r>
        <w:t>insulino-resistenza</w:t>
      </w:r>
      <w:proofErr w:type="spellEnd"/>
      <w:r>
        <w:t xml:space="preserve"> (Figura 16) e rapporto colesterolo totale/colesterolo HDL (Figura 17) aumentavano linearmente all’aumentare del grado di adiposità.</w:t>
      </w:r>
    </w:p>
    <w:p w:rsidR="00E56731" w:rsidRPr="00D84726" w:rsidRDefault="00E56731" w:rsidP="00E56731">
      <w:pPr>
        <w:keepNext/>
        <w:spacing w:after="0" w:line="240" w:lineRule="auto"/>
        <w:jc w:val="center"/>
      </w:pPr>
      <w:r>
        <w:rPr>
          <w:noProof/>
          <w:lang w:eastAsia="it-IT"/>
        </w:rPr>
        <w:drawing>
          <wp:inline distT="0" distB="0" distL="0" distR="0">
            <wp:extent cx="3204210" cy="1331595"/>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srcRect/>
                    <a:stretch>
                      <a:fillRect/>
                    </a:stretch>
                  </pic:blipFill>
                  <pic:spPr bwMode="auto">
                    <a:xfrm>
                      <a:off x="0" y="0"/>
                      <a:ext cx="3204210" cy="1331595"/>
                    </a:xfrm>
                    <a:prstGeom prst="rect">
                      <a:avLst/>
                    </a:prstGeom>
                    <a:noFill/>
                    <a:ln w="9525">
                      <a:noFill/>
                      <a:miter lim="800000"/>
                      <a:headEnd/>
                      <a:tailEnd/>
                    </a:ln>
                  </pic:spPr>
                </pic:pic>
              </a:graphicData>
            </a:graphic>
          </wp:inline>
        </w:drawing>
      </w:r>
    </w:p>
    <w:p w:rsidR="00E56731" w:rsidRPr="007A1E3C" w:rsidRDefault="00E56731" w:rsidP="00936617">
      <w:pPr>
        <w:jc w:val="center"/>
        <w:rPr>
          <w:b/>
          <w:sz w:val="20"/>
          <w:szCs w:val="20"/>
        </w:rPr>
      </w:pPr>
      <w:r w:rsidRPr="007A1E3C">
        <w:rPr>
          <w:b/>
          <w:sz w:val="20"/>
          <w:szCs w:val="20"/>
        </w:rPr>
        <w:t>Figur</w:t>
      </w:r>
      <w:r w:rsidR="00A85010" w:rsidRPr="007A1E3C">
        <w:rPr>
          <w:b/>
          <w:sz w:val="20"/>
          <w:szCs w:val="20"/>
        </w:rPr>
        <w:t>a</w:t>
      </w:r>
      <w:r w:rsidRPr="007A1E3C">
        <w:rPr>
          <w:b/>
          <w:sz w:val="20"/>
          <w:szCs w:val="20"/>
        </w:rPr>
        <w:t xml:space="preserve"> </w:t>
      </w:r>
      <w:r w:rsidR="00A85010" w:rsidRPr="007A1E3C">
        <w:rPr>
          <w:b/>
          <w:sz w:val="20"/>
          <w:szCs w:val="20"/>
        </w:rPr>
        <w:t>15</w:t>
      </w:r>
      <w:r w:rsidRPr="007A1E3C">
        <w:rPr>
          <w:b/>
          <w:sz w:val="20"/>
          <w:szCs w:val="20"/>
        </w:rPr>
        <w:t xml:space="preserve">: </w:t>
      </w:r>
      <w:r w:rsidR="00A85010" w:rsidRPr="007A1E3C">
        <w:rPr>
          <w:b/>
          <w:sz w:val="20"/>
          <w:szCs w:val="20"/>
        </w:rPr>
        <w:t>Pressione arteriosa sistolica</w:t>
      </w:r>
      <w:r w:rsidRPr="007A1E3C">
        <w:rPr>
          <w:b/>
          <w:sz w:val="20"/>
          <w:szCs w:val="20"/>
        </w:rPr>
        <w:t xml:space="preserve"> [</w:t>
      </w:r>
      <w:proofErr w:type="spellStart"/>
      <w:r w:rsidRPr="007A1E3C">
        <w:rPr>
          <w:b/>
          <w:sz w:val="20"/>
          <w:szCs w:val="20"/>
        </w:rPr>
        <w:t>mmHg</w:t>
      </w:r>
      <w:proofErr w:type="spellEnd"/>
      <w:r w:rsidRPr="007A1E3C">
        <w:rPr>
          <w:b/>
          <w:sz w:val="20"/>
          <w:szCs w:val="20"/>
        </w:rPr>
        <w:t xml:space="preserve">] in </w:t>
      </w:r>
      <w:r w:rsidR="00A85010" w:rsidRPr="007A1E3C">
        <w:rPr>
          <w:b/>
          <w:sz w:val="20"/>
          <w:szCs w:val="20"/>
        </w:rPr>
        <w:t xml:space="preserve">bambini di </w:t>
      </w:r>
      <w:r w:rsidRPr="007A1E3C">
        <w:rPr>
          <w:b/>
          <w:sz w:val="20"/>
          <w:szCs w:val="20"/>
        </w:rPr>
        <w:t>6-9</w:t>
      </w:r>
      <w:r w:rsidR="00A85010" w:rsidRPr="007A1E3C">
        <w:rPr>
          <w:b/>
          <w:sz w:val="20"/>
          <w:szCs w:val="20"/>
        </w:rPr>
        <w:t xml:space="preserve"> anni in base al grado di adiposità</w:t>
      </w:r>
      <w:r w:rsidRPr="007A1E3C">
        <w:rPr>
          <w:b/>
          <w:sz w:val="20"/>
          <w:szCs w:val="20"/>
        </w:rPr>
        <w:t xml:space="preserve"> </w:t>
      </w:r>
    </w:p>
    <w:p w:rsidR="00E56731" w:rsidRPr="00936617" w:rsidRDefault="00E56731" w:rsidP="00936617">
      <w:pPr>
        <w:jc w:val="center"/>
        <w:rPr>
          <w:b/>
          <w:sz w:val="20"/>
          <w:szCs w:val="20"/>
          <w:lang w:val="en-US"/>
        </w:rPr>
      </w:pPr>
      <w:r w:rsidRPr="00936617">
        <w:rPr>
          <w:b/>
          <w:noProof/>
          <w:sz w:val="20"/>
          <w:szCs w:val="20"/>
          <w:lang w:eastAsia="it-IT"/>
        </w:rPr>
        <w:drawing>
          <wp:inline distT="0" distB="0" distL="0" distR="0">
            <wp:extent cx="3248025" cy="1082675"/>
            <wp:effectExtent l="0" t="0" r="0" b="0"/>
            <wp:docPr id="78" name="Oggetto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56731" w:rsidRPr="007A1E3C" w:rsidRDefault="00E56731" w:rsidP="00936617">
      <w:pPr>
        <w:jc w:val="center"/>
        <w:rPr>
          <w:b/>
          <w:sz w:val="20"/>
          <w:szCs w:val="20"/>
        </w:rPr>
      </w:pPr>
      <w:r w:rsidRPr="007A1E3C">
        <w:rPr>
          <w:b/>
          <w:sz w:val="20"/>
          <w:szCs w:val="20"/>
        </w:rPr>
        <w:t>Figur</w:t>
      </w:r>
      <w:r w:rsidR="00A85010" w:rsidRPr="007A1E3C">
        <w:rPr>
          <w:b/>
          <w:sz w:val="20"/>
          <w:szCs w:val="20"/>
        </w:rPr>
        <w:t>a</w:t>
      </w:r>
      <w:r w:rsidRPr="007A1E3C">
        <w:rPr>
          <w:b/>
          <w:sz w:val="20"/>
          <w:szCs w:val="20"/>
        </w:rPr>
        <w:t xml:space="preserve"> </w:t>
      </w:r>
      <w:r w:rsidR="00A85010" w:rsidRPr="007A1E3C">
        <w:rPr>
          <w:b/>
          <w:sz w:val="20"/>
          <w:szCs w:val="20"/>
        </w:rPr>
        <w:t xml:space="preserve">16: Percentuale di bambini (2-9 anni) </w:t>
      </w:r>
      <w:r w:rsidR="007A1E3C">
        <w:rPr>
          <w:b/>
          <w:sz w:val="20"/>
          <w:szCs w:val="20"/>
        </w:rPr>
        <w:t xml:space="preserve">con </w:t>
      </w:r>
      <w:r w:rsidR="00A85010" w:rsidRPr="007A1E3C">
        <w:rPr>
          <w:b/>
          <w:sz w:val="20"/>
          <w:szCs w:val="20"/>
        </w:rPr>
        <w:t xml:space="preserve">HOMA </w:t>
      </w:r>
      <w:proofErr w:type="spellStart"/>
      <w:r w:rsidR="00A85010" w:rsidRPr="007A1E3C">
        <w:rPr>
          <w:b/>
          <w:sz w:val="20"/>
          <w:szCs w:val="20"/>
        </w:rPr>
        <w:t>index</w:t>
      </w:r>
      <w:proofErr w:type="spellEnd"/>
      <w:r w:rsidR="00A85010" w:rsidRPr="007A1E3C">
        <w:rPr>
          <w:b/>
          <w:sz w:val="20"/>
          <w:szCs w:val="20"/>
        </w:rPr>
        <w:t xml:space="preserve"> &gt; 85°-percentile in base al grado di adiposità</w:t>
      </w:r>
    </w:p>
    <w:p w:rsidR="00E56731" w:rsidRPr="00D84726" w:rsidRDefault="00E56731" w:rsidP="00E56731">
      <w:pPr>
        <w:keepNext/>
        <w:spacing w:after="0" w:line="240" w:lineRule="auto"/>
        <w:jc w:val="center"/>
      </w:pPr>
      <w:r>
        <w:rPr>
          <w:noProof/>
          <w:lang w:eastAsia="it-IT"/>
        </w:rPr>
        <w:drawing>
          <wp:inline distT="0" distB="0" distL="0" distR="0">
            <wp:extent cx="2918460" cy="1711960"/>
            <wp:effectExtent l="0" t="0" r="0" b="0"/>
            <wp:docPr id="79" name="Oggetto 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85010" w:rsidRPr="007A1E3C" w:rsidRDefault="00E56731" w:rsidP="00936617">
      <w:pPr>
        <w:jc w:val="center"/>
        <w:rPr>
          <w:b/>
          <w:sz w:val="20"/>
          <w:szCs w:val="20"/>
        </w:rPr>
      </w:pPr>
      <w:r w:rsidRPr="007A1E3C">
        <w:rPr>
          <w:b/>
          <w:sz w:val="20"/>
          <w:szCs w:val="20"/>
        </w:rPr>
        <w:t>Figur</w:t>
      </w:r>
      <w:r w:rsidR="00A85010" w:rsidRPr="007A1E3C">
        <w:rPr>
          <w:b/>
          <w:sz w:val="20"/>
          <w:szCs w:val="20"/>
        </w:rPr>
        <w:t>a 17</w:t>
      </w:r>
      <w:r w:rsidRPr="007A1E3C">
        <w:rPr>
          <w:b/>
          <w:sz w:val="20"/>
          <w:szCs w:val="20"/>
        </w:rPr>
        <w:t xml:space="preserve">: </w:t>
      </w:r>
      <w:r w:rsidR="00A85010" w:rsidRPr="007A1E3C">
        <w:rPr>
          <w:b/>
          <w:sz w:val="20"/>
          <w:szCs w:val="20"/>
        </w:rPr>
        <w:t xml:space="preserve">Rapporto colesterolo totale/colesterolo HDL in bambini di </w:t>
      </w:r>
      <w:r w:rsidRPr="007A1E3C">
        <w:rPr>
          <w:b/>
          <w:sz w:val="20"/>
          <w:szCs w:val="20"/>
        </w:rPr>
        <w:t>6-9</w:t>
      </w:r>
      <w:r w:rsidR="00A85010" w:rsidRPr="007A1E3C">
        <w:rPr>
          <w:b/>
          <w:sz w:val="20"/>
          <w:szCs w:val="20"/>
        </w:rPr>
        <w:t xml:space="preserve"> anni in base al grado di adiposità</w:t>
      </w:r>
    </w:p>
    <w:p w:rsidR="0024052B" w:rsidRPr="00BA36F5" w:rsidRDefault="0024052B" w:rsidP="0024052B"/>
    <w:p w:rsidR="00936617" w:rsidRPr="00BA36F5" w:rsidRDefault="00936617" w:rsidP="0037396B">
      <w:pPr>
        <w:jc w:val="both"/>
      </w:pPr>
      <w:r>
        <w:lastRenderedPageBreak/>
        <w:t>Nel corso dello studio IDEFICS è stata valutata la percezione del gusto (sia in termini qualitativi che quantitativi) nei bambini (Figura 18).</w:t>
      </w:r>
    </w:p>
    <w:p w:rsidR="0024052B" w:rsidRDefault="0024052B" w:rsidP="0024052B">
      <w:pPr>
        <w:spacing w:after="120"/>
      </w:pPr>
      <w:r>
        <w:rPr>
          <w:noProof/>
          <w:lang w:eastAsia="it-IT"/>
        </w:rPr>
        <w:drawing>
          <wp:inline distT="0" distB="0" distL="0" distR="0">
            <wp:extent cx="1976862" cy="1498600"/>
            <wp:effectExtent l="19050" t="0" r="4338" b="0"/>
            <wp:docPr id="2" name="Immagine 43" descr="163_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63_6338"/>
                    <pic:cNvPicPr>
                      <a:picLocks noChangeAspect="1" noChangeArrowheads="1"/>
                    </pic:cNvPicPr>
                  </pic:nvPicPr>
                  <pic:blipFill>
                    <a:blip r:embed="rId38" cstate="print"/>
                    <a:srcRect l="1038" r="5536" b="5536"/>
                    <a:stretch>
                      <a:fillRect/>
                    </a:stretch>
                  </pic:blipFill>
                  <pic:spPr bwMode="auto">
                    <a:xfrm>
                      <a:off x="0" y="0"/>
                      <a:ext cx="1974825" cy="1497056"/>
                    </a:xfrm>
                    <a:prstGeom prst="rect">
                      <a:avLst/>
                    </a:prstGeom>
                    <a:noFill/>
                  </pic:spPr>
                </pic:pic>
              </a:graphicData>
            </a:graphic>
          </wp:inline>
        </w:drawing>
      </w:r>
      <w:r>
        <w:rPr>
          <w:noProof/>
          <w:lang w:eastAsia="it-IT"/>
        </w:rPr>
        <w:drawing>
          <wp:inline distT="0" distB="0" distL="0" distR="0">
            <wp:extent cx="1832976" cy="1733550"/>
            <wp:effectExtent l="19050" t="0" r="0" b="0"/>
            <wp:docPr id="5" name="Immagine 44" descr="sensory per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nsory perception"/>
                    <pic:cNvPicPr>
                      <a:picLocks noChangeAspect="1" noChangeArrowheads="1"/>
                    </pic:cNvPicPr>
                  </pic:nvPicPr>
                  <pic:blipFill>
                    <a:blip r:embed="rId39" cstate="print"/>
                    <a:srcRect l="7797" t="3326" r="15596"/>
                    <a:stretch>
                      <a:fillRect/>
                    </a:stretch>
                  </pic:blipFill>
                  <pic:spPr bwMode="auto">
                    <a:xfrm>
                      <a:off x="0" y="0"/>
                      <a:ext cx="1834267" cy="1734771"/>
                    </a:xfrm>
                    <a:prstGeom prst="rect">
                      <a:avLst/>
                    </a:prstGeom>
                    <a:noFill/>
                    <a:ln w="9525">
                      <a:noFill/>
                      <a:miter lim="800000"/>
                      <a:headEnd/>
                      <a:tailEnd/>
                    </a:ln>
                    <a:effectLst/>
                  </pic:spPr>
                </pic:pic>
              </a:graphicData>
            </a:graphic>
          </wp:inline>
        </w:drawing>
      </w:r>
      <w:r>
        <w:rPr>
          <w:noProof/>
          <w:lang w:eastAsia="it-IT"/>
        </w:rPr>
        <w:drawing>
          <wp:inline distT="0" distB="0" distL="0" distR="0">
            <wp:extent cx="1828800" cy="1730208"/>
            <wp:effectExtent l="19050" t="0" r="0" b="0"/>
            <wp:docPr id="8" name="Immagine 42" descr="sensory percept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nsory perception0"/>
                    <pic:cNvPicPr>
                      <a:picLocks noChangeAspect="1" noChangeArrowheads="1"/>
                    </pic:cNvPicPr>
                  </pic:nvPicPr>
                  <pic:blipFill>
                    <a:blip r:embed="rId40" cstate="print"/>
                    <a:srcRect b="5965"/>
                    <a:stretch>
                      <a:fillRect/>
                    </a:stretch>
                  </pic:blipFill>
                  <pic:spPr bwMode="auto">
                    <a:xfrm>
                      <a:off x="0" y="0"/>
                      <a:ext cx="1830732" cy="1732036"/>
                    </a:xfrm>
                    <a:prstGeom prst="rect">
                      <a:avLst/>
                    </a:prstGeom>
                    <a:noFill/>
                    <a:ln w="9525">
                      <a:noFill/>
                      <a:miter lim="800000"/>
                      <a:headEnd/>
                      <a:tailEnd/>
                    </a:ln>
                    <a:effectLst/>
                  </pic:spPr>
                </pic:pic>
              </a:graphicData>
            </a:graphic>
          </wp:inline>
        </w:drawing>
      </w:r>
    </w:p>
    <w:p w:rsidR="0024052B" w:rsidRPr="00F8752F" w:rsidRDefault="0024052B" w:rsidP="0024052B">
      <w:pPr>
        <w:jc w:val="center"/>
        <w:rPr>
          <w:b/>
          <w:sz w:val="20"/>
          <w:szCs w:val="20"/>
        </w:rPr>
      </w:pPr>
      <w:r w:rsidRPr="00F8752F">
        <w:rPr>
          <w:b/>
          <w:sz w:val="20"/>
          <w:szCs w:val="20"/>
        </w:rPr>
        <w:t>Figur</w:t>
      </w:r>
      <w:r w:rsidR="00F8752F" w:rsidRPr="00F8752F">
        <w:rPr>
          <w:b/>
          <w:sz w:val="20"/>
          <w:szCs w:val="20"/>
        </w:rPr>
        <w:t>a</w:t>
      </w:r>
      <w:r w:rsidRPr="00F8752F">
        <w:rPr>
          <w:b/>
          <w:sz w:val="20"/>
          <w:szCs w:val="20"/>
        </w:rPr>
        <w:t xml:space="preserve"> </w:t>
      </w:r>
      <w:r w:rsidR="005C6C8C" w:rsidRPr="00F8752F">
        <w:rPr>
          <w:b/>
          <w:sz w:val="20"/>
          <w:szCs w:val="20"/>
        </w:rPr>
        <w:t>18</w:t>
      </w:r>
      <w:r w:rsidRPr="00F8752F">
        <w:rPr>
          <w:b/>
          <w:sz w:val="20"/>
          <w:szCs w:val="20"/>
        </w:rPr>
        <w:t xml:space="preserve">: </w:t>
      </w:r>
      <w:r w:rsidR="00F8752F" w:rsidRPr="00F8752F">
        <w:rPr>
          <w:b/>
          <w:sz w:val="20"/>
          <w:szCs w:val="20"/>
        </w:rPr>
        <w:t xml:space="preserve">Valutazione qualitativa (preferenza, a sinistra) </w:t>
      </w:r>
      <w:r w:rsidR="00F8752F">
        <w:rPr>
          <w:b/>
          <w:sz w:val="20"/>
          <w:szCs w:val="20"/>
        </w:rPr>
        <w:t>e quantitati</w:t>
      </w:r>
      <w:r w:rsidR="00F8752F" w:rsidRPr="00F8752F">
        <w:rPr>
          <w:b/>
          <w:sz w:val="20"/>
          <w:szCs w:val="20"/>
        </w:rPr>
        <w:t>va (soglia di percezione, al centro e a destra) del gusto</w:t>
      </w:r>
    </w:p>
    <w:p w:rsidR="0024052B" w:rsidRDefault="0024052B" w:rsidP="0024052B"/>
    <w:p w:rsidR="00F8752F" w:rsidRPr="00F8752F" w:rsidRDefault="00F8752F" w:rsidP="0037396B">
      <w:pPr>
        <w:jc w:val="both"/>
      </w:pPr>
      <w:r>
        <w:t>Nelle bambine, la preferenza per il gusto dolce o per alimenti ricchi in grassi era associata ad un significativo aumento del rischio di sovrappeso/obesità rispetto a bambine che preferivano invece alimenti più “neutri” come sapore (Figura 19).</w:t>
      </w:r>
    </w:p>
    <w:p w:rsidR="0024052B" w:rsidRPr="005A6510" w:rsidRDefault="00266000" w:rsidP="0024052B">
      <w:pPr>
        <w:keepNext/>
        <w:spacing w:after="0"/>
        <w:jc w:val="center"/>
        <w:rPr>
          <w:b/>
          <w:sz w:val="8"/>
          <w:szCs w:val="8"/>
        </w:rPr>
      </w:pPr>
      <w:r w:rsidRPr="00266000">
        <w:rPr>
          <w:sz w:val="8"/>
          <w:szCs w:val="8"/>
        </w:rPr>
      </w:r>
      <w:r w:rsidRPr="00266000">
        <w:rPr>
          <w:sz w:val="8"/>
          <w:szCs w:val="8"/>
        </w:rPr>
        <w:pict>
          <v:group id="_x0000_s1088" editas="canvas" style="width:362.85pt;height:172.85pt;mso-position-horizontal-relative:char;mso-position-vertical-relative:line" coordorigin="2199,-1081" coordsize="9900,4716">
            <o:lock v:ext="edit" aspectratio="t"/>
            <v:shape id="_x0000_s1089" type="#_x0000_t75" style="position:absolute;left:2199;top:-1081;width:9900;height:4716" o:preferrelative="f">
              <v:fill o:detectmouseclick="t"/>
              <v:path o:extrusionok="t" o:connecttype="none"/>
              <o:lock v:ext="edit" text="t"/>
            </v:shape>
            <v:shape id="TextBox 9" o:spid="_x0000_s1090" type="#_x0000_t202" style="position:absolute;left:2919;top:2529;width:7020;height:1046;visibility:visible" stroked="f">
              <v:textbox style="mso-next-textbox:#TextBox 9;mso-rotate-with-shape:t" inset="1.48336mm,.74169mm,1.48336mm,.74169mm">
                <w:txbxContent>
                  <w:p w:rsidR="0024052B" w:rsidRPr="00A7308C" w:rsidRDefault="0024052B" w:rsidP="0024052B">
                    <w:pPr>
                      <w:autoSpaceDE w:val="0"/>
                      <w:autoSpaceDN w:val="0"/>
                      <w:adjustRightInd w:val="0"/>
                      <w:rPr>
                        <w:rFonts w:ascii="Arial" w:eastAsia="MS PGothic" w:hAnsi="Arial" w:cs="Arial"/>
                        <w:color w:val="000000"/>
                        <w:sz w:val="14"/>
                        <w:lang w:val="sv-SE"/>
                      </w:rPr>
                    </w:pPr>
                    <w:r w:rsidRPr="00A7308C">
                      <w:rPr>
                        <w:rFonts w:ascii="Arial" w:eastAsia="MS PGothic" w:hAnsi="Arial" w:cs="Arial"/>
                        <w:color w:val="000000"/>
                        <w:sz w:val="28"/>
                        <w:szCs w:val="48"/>
                        <w:lang w:val="sv-SE"/>
                      </w:rPr>
                      <w:tab/>
                    </w:r>
                    <w:r w:rsidRPr="00A7308C">
                      <w:rPr>
                        <w:rFonts w:ascii="Arial" w:eastAsia="MS PGothic" w:hAnsi="Arial" w:cs="Arial"/>
                        <w:color w:val="000000"/>
                        <w:sz w:val="14"/>
                        <w:lang w:val="sv-SE"/>
                      </w:rPr>
                      <w:t>Fat preference</w:t>
                    </w:r>
                    <w:r w:rsidRPr="00A7308C">
                      <w:rPr>
                        <w:rFonts w:ascii="Arial" w:eastAsia="MS PGothic" w:hAnsi="Arial" w:cs="Arial"/>
                        <w:color w:val="000000"/>
                        <w:sz w:val="14"/>
                        <w:lang w:val="sv-SE"/>
                      </w:rPr>
                      <w:tab/>
                      <w:t xml:space="preserve">                  Sugar preference</w:t>
                    </w:r>
                  </w:p>
                  <w:p w:rsidR="0024052B" w:rsidRPr="00A7308C" w:rsidRDefault="0024052B" w:rsidP="0024052B">
                    <w:pPr>
                      <w:autoSpaceDE w:val="0"/>
                      <w:autoSpaceDN w:val="0"/>
                      <w:adjustRightInd w:val="0"/>
                      <w:rPr>
                        <w:rFonts w:ascii="Arial" w:eastAsia="MS PGothic" w:hAnsi="Arial" w:cs="Arial"/>
                        <w:color w:val="000000"/>
                        <w:sz w:val="14"/>
                        <w:lang w:val="sv-SE"/>
                      </w:rPr>
                    </w:pPr>
                  </w:p>
                  <w:p w:rsidR="0024052B" w:rsidRPr="00A7308C" w:rsidRDefault="0024052B" w:rsidP="0024052B">
                    <w:pPr>
                      <w:autoSpaceDE w:val="0"/>
                      <w:autoSpaceDN w:val="0"/>
                      <w:adjustRightInd w:val="0"/>
                      <w:rPr>
                        <w:rFonts w:ascii="Arial" w:eastAsia="MS PGothic" w:hAnsi="Arial" w:cs="Arial"/>
                        <w:color w:val="000000"/>
                        <w:sz w:val="14"/>
                        <w:lang w:val="sv-SE"/>
                      </w:rPr>
                    </w:pPr>
                  </w:p>
                </w:txbxContent>
              </v:textbox>
            </v:shape>
            <v:line id="Straight Connector 11" o:spid="_x0000_s1091" style="position:absolute;rotation:90;flip:x;visibility:visible" from="6243,2561" to="6327,2561"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" strokecolor="#7f7f7f"/>
            <v:rect id="Rectangle 24" o:spid="_x0000_s1092" style="position:absolute;left:2755;top:2587;width:180;height:900;visibility:visible" stroked="f">
              <v:stroke joinstyle="round"/>
              <v:textbox style="mso-next-textbox:#Rectangle 24;mso-rotate-with-shape:t" inset="1.48336mm,.74169mm,1.48336mm,.74169mm">
                <w:txbxContent>
                  <w:p w:rsidR="0024052B" w:rsidRPr="00A7308C" w:rsidRDefault="0024052B" w:rsidP="0024052B">
                    <w:pPr>
                      <w:autoSpaceDE w:val="0"/>
                      <w:autoSpaceDN w:val="0"/>
                      <w:adjustRightInd w:val="0"/>
                      <w:rPr>
                        <w:rFonts w:ascii="Arial" w:eastAsia="MS PGothic" w:hAnsi="Arial" w:cs="Arial"/>
                        <w:color w:val="000000"/>
                        <w:sz w:val="28"/>
                        <w:szCs w:val="48"/>
                        <w:lang w:val="sv-SE"/>
                      </w:rPr>
                    </w:pPr>
                  </w:p>
                </w:txbxContent>
              </v:textbox>
            </v:rect>
            <v:group id="Gruppieren 19" o:spid="_x0000_s1093" style="position:absolute;left:2199;top:-1081;width:7740;height:4716" coordorigin="500063,1733550" coordsize="6143625,3743325">
              <v:shape id="Picture 3" o:spid="_x0000_s1094" type="#_x0000_t75" style="position:absolute;left:500063;top:1733550;width:6143625;height:3743325;visibility:visible">
                <v:imagedata r:id="rId41" o:title=""/>
              </v:shape>
              <v:line id="Straight Connector 7" o:spid="_x0000_s1095" style="position:absolute;visibility:visible" from="1000125,3695700" to="6500813,3695700" o:connectortype="straight" strokeweight="1pt">
                <v:stroke dashstyle="dash"/>
              </v:line>
              <v:rect id="Rectangle 32" o:spid="_x0000_s1096" style="position:absolute;left:1433513;top:3186113;width:71437;height:71437;visibility:visible" fillcolor="#328dc7" stroked="f">
                <v:stroke joinstyle="round"/>
                <v:textbox style="mso-next-textbox:#Rectangle 32;mso-rotate-with-shape:t" inset="1.48336mm,.74169mm,1.48336mm,.74169mm">
                  <w:txbxContent>
                    <w:p w:rsidR="0024052B" w:rsidRPr="00A7308C" w:rsidRDefault="0024052B" w:rsidP="0024052B">
                      <w:pPr>
                        <w:autoSpaceDE w:val="0"/>
                        <w:autoSpaceDN w:val="0"/>
                        <w:adjustRightInd w:val="0"/>
                        <w:rPr>
                          <w:rFonts w:ascii="Arial" w:eastAsia="MS PGothic" w:hAnsi="Arial" w:cs="Arial"/>
                          <w:color w:val="000000"/>
                          <w:sz w:val="28"/>
                          <w:szCs w:val="48"/>
                          <w:lang w:val="sv-SE"/>
                        </w:rPr>
                      </w:pPr>
                    </w:p>
                  </w:txbxContent>
                </v:textbox>
              </v:rect>
              <v:rect id="Rectangle 33" o:spid="_x0000_s1097" style="position:absolute;left:4162425;top:3228975;width:71438;height:71438;visibility:visible" fillcolor="#328dc7" stroked="f">
                <v:stroke joinstyle="round"/>
                <v:textbox style="mso-next-textbox:#Rectangle 33;mso-rotate-with-shape:t" inset="1.48336mm,.74169mm,1.48336mm,.74169mm">
                  <w:txbxContent>
                    <w:p w:rsidR="0024052B" w:rsidRPr="00A7308C" w:rsidRDefault="0024052B" w:rsidP="0024052B">
                      <w:pPr>
                        <w:autoSpaceDE w:val="0"/>
                        <w:autoSpaceDN w:val="0"/>
                        <w:adjustRightInd w:val="0"/>
                        <w:rPr>
                          <w:rFonts w:ascii="Arial" w:eastAsia="MS PGothic" w:hAnsi="Arial" w:cs="Arial"/>
                          <w:color w:val="000000"/>
                          <w:sz w:val="28"/>
                          <w:szCs w:val="48"/>
                          <w:lang w:val="sv-SE"/>
                        </w:rP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 o:spid="_x0000_s1098" type="#_x0000_t5" style="position:absolute;left:2328863;top:3409950;width:107950;height:107950;visibility:visible" fillcolor="#7030a0" stroked="f">
                <v:stroke joinstyle="round"/>
                <v:textbox style="mso-next-textbox:#Isosceles Triangle 36;mso-rotate-with-shape:t" inset="1.48336mm,.74169mm,1.48336mm,.74169mm">
                  <w:txbxContent>
                    <w:p w:rsidR="0024052B" w:rsidRPr="00A7308C" w:rsidRDefault="0024052B" w:rsidP="0024052B">
                      <w:pPr>
                        <w:autoSpaceDE w:val="0"/>
                        <w:autoSpaceDN w:val="0"/>
                        <w:adjustRightInd w:val="0"/>
                        <w:rPr>
                          <w:rFonts w:ascii="Arial" w:eastAsia="MS PGothic" w:hAnsi="Arial" w:cs="Arial"/>
                          <w:color w:val="000000"/>
                          <w:sz w:val="28"/>
                          <w:szCs w:val="48"/>
                          <w:lang w:val="sv-SE"/>
                        </w:rPr>
                      </w:pPr>
                    </w:p>
                  </w:txbxContent>
                </v:textbox>
              </v:shape>
              <v:shape id="Isosceles Triangle 37" o:spid="_x0000_s1099" type="#_x0000_t5" style="position:absolute;left:5053013;top:3286125;width:107950;height:107950;visibility:visible" fillcolor="#7030a0" stroked="f">
                <v:stroke joinstyle="round"/>
                <v:textbox style="mso-next-textbox:#Isosceles Triangle 37;mso-rotate-with-shape:t" inset="1.48336mm,.74169mm,1.48336mm,.74169mm">
                  <w:txbxContent>
                    <w:p w:rsidR="0024052B" w:rsidRPr="00A7308C" w:rsidRDefault="0024052B" w:rsidP="0024052B">
                      <w:pPr>
                        <w:autoSpaceDE w:val="0"/>
                        <w:autoSpaceDN w:val="0"/>
                        <w:adjustRightInd w:val="0"/>
                        <w:rPr>
                          <w:rFonts w:ascii="Arial" w:eastAsia="MS PGothic" w:hAnsi="Arial" w:cs="Arial"/>
                          <w:color w:val="000000"/>
                          <w:sz w:val="28"/>
                          <w:szCs w:val="48"/>
                          <w:lang w:val="sv-SE"/>
                        </w:rPr>
                      </w:pPr>
                    </w:p>
                  </w:txbxContent>
                </v:textbox>
              </v:shape>
            </v:group>
            <v:shape id="TextBox 38" o:spid="_x0000_s1100" type="#_x0000_t202" style="position:absolute;left:11019;top:331;width:1080;height:814;visibility:visible" filled="f" stroked="f">
              <v:fill o:detectmouseclick="t"/>
              <v:textbox style="mso-next-textbox:#TextBox 38;mso-rotate-with-shape:t" inset="1.48336mm,.74169mm,1.48336mm,.74169mm">
                <w:txbxContent>
                  <w:p w:rsidR="0024052B" w:rsidRPr="00A7308C" w:rsidRDefault="0024052B" w:rsidP="0024052B">
                    <w:pPr>
                      <w:autoSpaceDE w:val="0"/>
                      <w:autoSpaceDN w:val="0"/>
                      <w:adjustRightInd w:val="0"/>
                      <w:spacing w:after="0"/>
                      <w:rPr>
                        <w:rFonts w:ascii="Arial" w:eastAsia="MS PGothic" w:hAnsi="Arial" w:cs="Arial"/>
                        <w:color w:val="000000"/>
                        <w:sz w:val="13"/>
                        <w:szCs w:val="16"/>
                        <w:lang w:val="sv-SE"/>
                      </w:rPr>
                    </w:pPr>
                    <w:r w:rsidRPr="00A7308C">
                      <w:rPr>
                        <w:rFonts w:ascii="Arial" w:eastAsia="MS PGothic" w:hAnsi="Arial" w:cs="Arial"/>
                        <w:color w:val="000000"/>
                        <w:sz w:val="13"/>
                        <w:szCs w:val="16"/>
                        <w:lang w:val="sv-SE"/>
                      </w:rPr>
                      <w:t>All</w:t>
                    </w:r>
                  </w:p>
                  <w:p w:rsidR="0024052B" w:rsidRPr="00A7308C" w:rsidRDefault="0024052B" w:rsidP="0024052B">
                    <w:pPr>
                      <w:autoSpaceDE w:val="0"/>
                      <w:autoSpaceDN w:val="0"/>
                      <w:adjustRightInd w:val="0"/>
                      <w:spacing w:after="0"/>
                      <w:rPr>
                        <w:rFonts w:ascii="Arial" w:eastAsia="MS PGothic" w:hAnsi="Arial" w:cs="Arial"/>
                        <w:color w:val="000000"/>
                        <w:sz w:val="13"/>
                        <w:szCs w:val="16"/>
                        <w:lang w:val="sv-SE"/>
                      </w:rPr>
                    </w:pPr>
                    <w:r w:rsidRPr="00A7308C">
                      <w:rPr>
                        <w:rFonts w:ascii="Arial" w:eastAsia="MS PGothic" w:hAnsi="Arial" w:cs="Arial"/>
                        <w:color w:val="000000"/>
                        <w:sz w:val="13"/>
                        <w:szCs w:val="16"/>
                        <w:lang w:val="sv-SE"/>
                      </w:rPr>
                      <w:t>Boys</w:t>
                    </w:r>
                  </w:p>
                  <w:p w:rsidR="0024052B" w:rsidRPr="00A7308C" w:rsidRDefault="0024052B" w:rsidP="0024052B">
                    <w:pPr>
                      <w:autoSpaceDE w:val="0"/>
                      <w:autoSpaceDN w:val="0"/>
                      <w:adjustRightInd w:val="0"/>
                      <w:spacing w:after="0"/>
                      <w:rPr>
                        <w:rFonts w:ascii="Arial" w:eastAsia="MS PGothic" w:hAnsi="Arial" w:cs="Arial"/>
                        <w:color w:val="000000"/>
                        <w:sz w:val="13"/>
                        <w:szCs w:val="16"/>
                        <w:lang w:val="sv-SE"/>
                      </w:rPr>
                    </w:pPr>
                    <w:r w:rsidRPr="00A7308C">
                      <w:rPr>
                        <w:rFonts w:ascii="Arial" w:eastAsia="MS PGothic" w:hAnsi="Arial" w:cs="Arial"/>
                        <w:color w:val="000000"/>
                        <w:sz w:val="13"/>
                        <w:szCs w:val="16"/>
                        <w:lang w:val="sv-SE"/>
                      </w:rPr>
                      <w:t>Girls</w:t>
                    </w:r>
                  </w:p>
                </w:txbxContent>
              </v:textbox>
            </v:shape>
            <v:shape id="Isosceles Triangle 39" o:spid="_x0000_s1101" type="#_x0000_t5" style="position:absolute;left:10847;top:679;width:136;height:136;visibility:visible" fillcolor="#7030a0" stroked="f">
              <v:stroke joinstyle="round"/>
              <v:textbox style="mso-next-textbox:#Isosceles Triangle 39;mso-rotate-with-shape:t" inset="1.48336mm,.74169mm,1.48336mm,.74169mm">
                <w:txbxContent>
                  <w:p w:rsidR="0024052B" w:rsidRPr="00A7308C" w:rsidRDefault="0024052B" w:rsidP="0024052B">
                    <w:pPr>
                      <w:autoSpaceDE w:val="0"/>
                      <w:autoSpaceDN w:val="0"/>
                      <w:adjustRightInd w:val="0"/>
                      <w:rPr>
                        <w:rFonts w:ascii="Arial" w:eastAsia="MS PGothic" w:hAnsi="Arial" w:cs="Arial"/>
                        <w:color w:val="000000"/>
                        <w:sz w:val="28"/>
                        <w:szCs w:val="48"/>
                        <w:lang w:val="sv-SE"/>
                      </w:rPr>
                    </w:pPr>
                  </w:p>
                </w:txbxContent>
              </v:textbox>
            </v:shape>
            <v:rect id="Rectangle 40" o:spid="_x0000_s1102" style="position:absolute;left:10847;top:477;width:90;height:90;visibility:visible" fillcolor="#328dc7" stroked="f">
              <v:stroke joinstyle="round"/>
              <v:textbox style="mso-next-textbox:#Rectangle 40;mso-rotate-with-shape:t" inset="1.48336mm,.74169mm,1.48336mm,.74169mm">
                <w:txbxContent>
                  <w:p w:rsidR="0024052B" w:rsidRPr="00A7308C" w:rsidRDefault="0024052B" w:rsidP="0024052B">
                    <w:pPr>
                      <w:autoSpaceDE w:val="0"/>
                      <w:autoSpaceDN w:val="0"/>
                      <w:adjustRightInd w:val="0"/>
                      <w:rPr>
                        <w:rFonts w:ascii="Arial" w:eastAsia="MS PGothic" w:hAnsi="Arial" w:cs="Arial"/>
                        <w:color w:val="000000"/>
                        <w:sz w:val="28"/>
                        <w:szCs w:val="48"/>
                        <w:lang w:val="sv-SE"/>
                      </w:rPr>
                    </w:pPr>
                  </w:p>
                </w:txbxContent>
              </v:textbox>
            </v:rect>
            <v:shape id="Isosceles Triangle 41" o:spid="_x0000_s1103" type="#_x0000_t5" style="position:absolute;left:10859;top:905;width:136;height:136;visibility:visible" fillcolor="#99c142" stroked="f">
              <v:stroke joinstyle="round"/>
              <v:textbox style="mso-next-textbox:#Isosceles Triangle 41;mso-rotate-with-shape:t" inset="1.48336mm,.74169mm,1.48336mm,.74169mm">
                <w:txbxContent>
                  <w:p w:rsidR="0024052B" w:rsidRPr="00A7308C" w:rsidRDefault="0024052B" w:rsidP="0024052B">
                    <w:pPr>
                      <w:autoSpaceDE w:val="0"/>
                      <w:autoSpaceDN w:val="0"/>
                      <w:adjustRightInd w:val="0"/>
                      <w:rPr>
                        <w:rFonts w:ascii="Arial" w:eastAsia="MS PGothic" w:hAnsi="Arial" w:cs="Arial"/>
                        <w:color w:val="000000"/>
                        <w:sz w:val="28"/>
                        <w:szCs w:val="48"/>
                        <w:lang w:val="sv-SE"/>
                      </w:rPr>
                    </w:pPr>
                  </w:p>
                </w:txbxContent>
              </v:textbox>
            </v:shape>
            <v:line id="Straight Connector 44" o:spid="_x0000_s1104" style="position:absolute;rotation:90;flip:x;visibility:visible" from="9678,2562" to="9762,2564"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" strokecolor="#7f7f7f"/>
            <v:shape id="Textfeld 20" o:spid="_x0000_s1105" type="#_x0000_t202" style="position:absolute;left:2543;top:2602;width:7366;height:983;visibility:visible" stroked="f">
              <v:fill o:detectmouseclick="t"/>
              <v:textbox style="mso-next-textbox:#Textfeld 20;mso-rotate-with-shape:t" inset="1.48336mm,.74169mm,1.48336mm,.74169mm">
                <w:txbxContent>
                  <w:p w:rsidR="0024052B" w:rsidRPr="00E56731" w:rsidRDefault="0024052B" w:rsidP="0024052B">
                    <w:pPr>
                      <w:autoSpaceDE w:val="0"/>
                      <w:autoSpaceDN w:val="0"/>
                      <w:adjustRightInd w:val="0"/>
                      <w:ind w:firstLine="708"/>
                      <w:rPr>
                        <w:rFonts w:ascii="Arial" w:eastAsia="MS PGothic" w:hAnsi="Arial" w:cs="Arial"/>
                        <w:color w:val="000000"/>
                        <w:sz w:val="16"/>
                        <w:szCs w:val="28"/>
                        <w:lang w:val="en-US"/>
                      </w:rPr>
                    </w:pPr>
                    <w:r w:rsidRPr="00E56731">
                      <w:rPr>
                        <w:rFonts w:ascii="Arial" w:eastAsia="MS PGothic" w:hAnsi="Arial" w:cs="Arial"/>
                        <w:color w:val="000000"/>
                        <w:sz w:val="16"/>
                        <w:szCs w:val="28"/>
                        <w:lang w:val="en-US"/>
                      </w:rPr>
                      <w:t>High fat preference</w:t>
                    </w:r>
                    <w:r w:rsidRPr="00E56731">
                      <w:rPr>
                        <w:rFonts w:ascii="Arial" w:eastAsia="MS PGothic" w:hAnsi="Arial" w:cs="Arial"/>
                        <w:color w:val="000000"/>
                        <w:sz w:val="16"/>
                        <w:szCs w:val="28"/>
                        <w:lang w:val="en-US"/>
                      </w:rPr>
                      <w:tab/>
                      <w:t xml:space="preserve">                           High sweet preference</w:t>
                    </w:r>
                  </w:p>
                </w:txbxContent>
              </v:textbox>
            </v:shape>
            <w10:wrap type="none"/>
            <w10:anchorlock/>
          </v:group>
        </w:pict>
      </w:r>
    </w:p>
    <w:p w:rsidR="0024052B" w:rsidRPr="00F8752F" w:rsidRDefault="0024052B" w:rsidP="0024052B">
      <w:pPr>
        <w:jc w:val="center"/>
      </w:pPr>
      <w:r w:rsidRPr="00F8752F">
        <w:rPr>
          <w:b/>
          <w:sz w:val="20"/>
          <w:szCs w:val="20"/>
        </w:rPr>
        <w:t>Figur</w:t>
      </w:r>
      <w:r w:rsidR="00F8752F" w:rsidRPr="00F8752F">
        <w:rPr>
          <w:b/>
          <w:sz w:val="20"/>
          <w:szCs w:val="20"/>
        </w:rPr>
        <w:t>a</w:t>
      </w:r>
      <w:r w:rsidRPr="00F8752F">
        <w:rPr>
          <w:b/>
          <w:sz w:val="20"/>
          <w:szCs w:val="20"/>
        </w:rPr>
        <w:t xml:space="preserve"> </w:t>
      </w:r>
      <w:r w:rsidR="005C6C8C" w:rsidRPr="00F8752F">
        <w:rPr>
          <w:b/>
          <w:sz w:val="20"/>
          <w:szCs w:val="20"/>
        </w:rPr>
        <w:t>19</w:t>
      </w:r>
      <w:r w:rsidRPr="00F8752F">
        <w:rPr>
          <w:b/>
          <w:sz w:val="20"/>
          <w:szCs w:val="20"/>
        </w:rPr>
        <w:t xml:space="preserve">: </w:t>
      </w:r>
      <w:r w:rsidR="00F8752F" w:rsidRPr="00F8752F">
        <w:rPr>
          <w:b/>
          <w:sz w:val="20"/>
          <w:szCs w:val="20"/>
        </w:rPr>
        <w:t xml:space="preserve">Preferenza del gusto e rischio di sovrappeso/obesità nei due sessi (corretto per paese, età; OR e </w:t>
      </w:r>
      <w:r w:rsidR="0037396B" w:rsidRPr="00F8752F">
        <w:rPr>
          <w:b/>
          <w:sz w:val="20"/>
          <w:szCs w:val="20"/>
        </w:rPr>
        <w:t xml:space="preserve">IC </w:t>
      </w:r>
      <w:r w:rsidR="00F8752F" w:rsidRPr="00F8752F">
        <w:rPr>
          <w:b/>
          <w:sz w:val="20"/>
          <w:szCs w:val="20"/>
        </w:rPr>
        <w:t xml:space="preserve">95% vs. preferenza per alimenti senza sapori aggiunti) </w:t>
      </w:r>
    </w:p>
    <w:p w:rsidR="0024052B" w:rsidRDefault="0024052B" w:rsidP="0024052B"/>
    <w:p w:rsidR="0037396B" w:rsidRDefault="0037396B" w:rsidP="0024052B"/>
    <w:p w:rsidR="0037396B" w:rsidRDefault="0037396B" w:rsidP="0024052B"/>
    <w:p w:rsidR="0037396B" w:rsidRDefault="0037396B" w:rsidP="0024052B"/>
    <w:p w:rsidR="0037396B" w:rsidRDefault="0037396B" w:rsidP="0024052B"/>
    <w:p w:rsidR="0037396B" w:rsidRDefault="0037396B" w:rsidP="0024052B"/>
    <w:p w:rsidR="0037396B" w:rsidRDefault="0037396B" w:rsidP="0024052B"/>
    <w:p w:rsidR="0037396B" w:rsidRDefault="0037396B" w:rsidP="0024052B"/>
    <w:p w:rsidR="0037396B" w:rsidRDefault="0037396B" w:rsidP="0024052B"/>
    <w:p w:rsidR="0037396B" w:rsidRPr="00F8752F" w:rsidRDefault="0037396B" w:rsidP="0037396B">
      <w:pPr>
        <w:jc w:val="both"/>
      </w:pPr>
      <w:r>
        <w:t xml:space="preserve">Se la preferenza per il gusto dolce o per gli alimenti grassi era associata ad un aumento del rischio di sovrappeso/obesità nell’intera popolazione e, nell’analisi separata per sesso, nelle bambine in particolare, è stato interessante osservare che tale rischio era ulteriormente aumentato –ancora una volta nelle bambine in modo particolare- quando era associata allo stesso tempo la preferenza per il gusto dolce </w:t>
      </w:r>
      <w:r w:rsidRPr="0037396B">
        <w:rPr>
          <w:i/>
        </w:rPr>
        <w:t>e</w:t>
      </w:r>
      <w:r>
        <w:t xml:space="preserve"> per gli alimenti ricchi in grassi (Figura 20).</w:t>
      </w:r>
    </w:p>
    <w:p w:rsidR="0024052B" w:rsidRPr="00D84726" w:rsidRDefault="0024052B" w:rsidP="0024052B">
      <w:pPr>
        <w:keepNext/>
        <w:spacing w:after="120"/>
        <w:jc w:val="center"/>
      </w:pPr>
      <w:r>
        <w:rPr>
          <w:noProof/>
          <w:lang w:eastAsia="it-IT"/>
        </w:rPr>
        <w:drawing>
          <wp:inline distT="0" distB="0" distL="0" distR="0">
            <wp:extent cx="2414104" cy="2247900"/>
            <wp:effectExtent l="19050" t="0" r="5246"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cstate="print"/>
                    <a:srcRect/>
                    <a:stretch>
                      <a:fillRect/>
                    </a:stretch>
                  </pic:blipFill>
                  <pic:spPr bwMode="auto">
                    <a:xfrm>
                      <a:off x="0" y="0"/>
                      <a:ext cx="2416495" cy="2250126"/>
                    </a:xfrm>
                    <a:prstGeom prst="rect">
                      <a:avLst/>
                    </a:prstGeom>
                    <a:noFill/>
                    <a:ln w="9525">
                      <a:noFill/>
                      <a:miter lim="800000"/>
                      <a:headEnd/>
                      <a:tailEnd/>
                    </a:ln>
                  </pic:spPr>
                </pic:pic>
              </a:graphicData>
            </a:graphic>
          </wp:inline>
        </w:drawing>
      </w:r>
    </w:p>
    <w:p w:rsidR="0024052B" w:rsidRPr="0037396B" w:rsidRDefault="0024052B" w:rsidP="005C6C8C">
      <w:pPr>
        <w:jc w:val="center"/>
        <w:rPr>
          <w:b/>
          <w:bCs/>
          <w:sz w:val="20"/>
          <w:szCs w:val="20"/>
        </w:rPr>
      </w:pPr>
      <w:r w:rsidRPr="0037396B">
        <w:rPr>
          <w:b/>
          <w:bCs/>
          <w:sz w:val="20"/>
          <w:szCs w:val="20"/>
        </w:rPr>
        <w:t>Figur</w:t>
      </w:r>
      <w:r w:rsidR="005C6C8C" w:rsidRPr="0037396B">
        <w:rPr>
          <w:b/>
          <w:bCs/>
          <w:sz w:val="20"/>
          <w:szCs w:val="20"/>
        </w:rPr>
        <w:t>a 20</w:t>
      </w:r>
      <w:r w:rsidRPr="0037396B">
        <w:rPr>
          <w:b/>
          <w:bCs/>
          <w:sz w:val="20"/>
          <w:szCs w:val="20"/>
        </w:rPr>
        <w:t xml:space="preserve">: </w:t>
      </w:r>
      <w:r w:rsidR="0037396B" w:rsidRPr="0037396B">
        <w:rPr>
          <w:b/>
          <w:bCs/>
          <w:sz w:val="20"/>
          <w:szCs w:val="20"/>
        </w:rPr>
        <w:t>Rischio di sovrappeso/obesità (OR e IC 95%) in bambini con scarsa preferenza per il dolce e i grassi (</w:t>
      </w:r>
      <w:proofErr w:type="spellStart"/>
      <w:r w:rsidRPr="0037396B">
        <w:rPr>
          <w:b/>
          <w:bCs/>
          <w:sz w:val="20"/>
          <w:szCs w:val="20"/>
        </w:rPr>
        <w:t>LF+LS</w:t>
      </w:r>
      <w:proofErr w:type="spellEnd"/>
      <w:r w:rsidRPr="0037396B">
        <w:rPr>
          <w:b/>
          <w:bCs/>
          <w:sz w:val="20"/>
          <w:szCs w:val="20"/>
        </w:rPr>
        <w:t xml:space="preserve">, </w:t>
      </w:r>
      <w:r w:rsidR="0037396B" w:rsidRPr="0037396B">
        <w:rPr>
          <w:b/>
          <w:bCs/>
          <w:sz w:val="20"/>
          <w:szCs w:val="20"/>
        </w:rPr>
        <w:t>categoria di riferimento</w:t>
      </w:r>
      <w:r w:rsidRPr="0037396B">
        <w:rPr>
          <w:b/>
          <w:bCs/>
          <w:sz w:val="20"/>
          <w:szCs w:val="20"/>
        </w:rPr>
        <w:t xml:space="preserve">), </w:t>
      </w:r>
      <w:r w:rsidR="0037396B">
        <w:rPr>
          <w:b/>
          <w:bCs/>
          <w:sz w:val="20"/>
          <w:szCs w:val="20"/>
        </w:rPr>
        <w:t xml:space="preserve">per il dolce o i grassi </w:t>
      </w:r>
      <w:r w:rsidRPr="0037396B">
        <w:rPr>
          <w:b/>
          <w:bCs/>
          <w:sz w:val="20"/>
          <w:szCs w:val="20"/>
        </w:rPr>
        <w:t xml:space="preserve">(HF o HS), </w:t>
      </w:r>
      <w:r w:rsidR="00480642">
        <w:rPr>
          <w:b/>
          <w:bCs/>
          <w:sz w:val="20"/>
          <w:szCs w:val="20"/>
        </w:rPr>
        <w:t xml:space="preserve">e sia per il dolce sia per i grassi </w:t>
      </w:r>
      <w:r w:rsidRPr="0037396B">
        <w:rPr>
          <w:b/>
          <w:bCs/>
          <w:sz w:val="20"/>
          <w:szCs w:val="20"/>
        </w:rPr>
        <w:t>(</w:t>
      </w:r>
      <w:proofErr w:type="spellStart"/>
      <w:r w:rsidRPr="0037396B">
        <w:rPr>
          <w:b/>
          <w:bCs/>
          <w:sz w:val="20"/>
          <w:szCs w:val="20"/>
        </w:rPr>
        <w:t>HF+HS</w:t>
      </w:r>
      <w:proofErr w:type="spellEnd"/>
      <w:r w:rsidRPr="0037396B">
        <w:rPr>
          <w:b/>
          <w:bCs/>
          <w:sz w:val="20"/>
          <w:szCs w:val="20"/>
        </w:rPr>
        <w:t>)</w:t>
      </w:r>
      <w:r w:rsidR="00480642">
        <w:rPr>
          <w:b/>
          <w:bCs/>
          <w:sz w:val="20"/>
          <w:szCs w:val="20"/>
        </w:rPr>
        <w:t xml:space="preserve"> nell’intera popolazione e separatamente per bambini e bambine.</w:t>
      </w:r>
    </w:p>
    <w:p w:rsidR="00A85010" w:rsidRPr="0037396B" w:rsidRDefault="00A85010">
      <w:pPr>
        <w:rPr>
          <w:rFonts w:ascii="Times New Roman" w:eastAsia="Times New Roman" w:hAnsi="Times New Roman" w:cs="Times New Roman"/>
          <w:b/>
          <w:bCs/>
          <w:sz w:val="20"/>
          <w:szCs w:val="20"/>
          <w:lang w:eastAsia="nl-NL"/>
        </w:rPr>
      </w:pPr>
      <w:r w:rsidRPr="0037396B">
        <w:br w:type="page"/>
      </w:r>
    </w:p>
    <w:p w:rsidR="00E56731" w:rsidRPr="00A85010" w:rsidRDefault="00A85010">
      <w:pPr>
        <w:rPr>
          <w:b/>
          <w:sz w:val="28"/>
          <w:szCs w:val="20"/>
        </w:rPr>
      </w:pPr>
      <w:r w:rsidRPr="00A85010">
        <w:rPr>
          <w:b/>
          <w:sz w:val="28"/>
          <w:szCs w:val="20"/>
        </w:rPr>
        <w:lastRenderedPageBreak/>
        <w:t>INTERVENTO</w:t>
      </w:r>
    </w:p>
    <w:p w:rsidR="00E56731" w:rsidRDefault="0024052B" w:rsidP="00B65B6A">
      <w:pPr>
        <w:jc w:val="both"/>
      </w:pPr>
      <w:r w:rsidRPr="0024052B">
        <w:t>Una delle fasi più qualificanti dello studio IDEFICS è stata l’esecuzione di un programma di intervento per la prevenzione dell’obesità in età pediatrica.</w:t>
      </w:r>
      <w:r w:rsidR="005C6C8C">
        <w:t xml:space="preserve"> L’intervento era “intensivo” in circa il 50% del campione e standard nella rimanente metà in modo da poter ottenere una stima quantitativa (vs. controllo) dell’impatto dell’intervento </w:t>
      </w:r>
      <w:r w:rsidR="005C6C8C" w:rsidRPr="0024052B">
        <w:t>sul campione in esame</w:t>
      </w:r>
      <w:r w:rsidR="005C6C8C">
        <w:t>.</w:t>
      </w:r>
    </w:p>
    <w:p w:rsidR="0024052B" w:rsidRDefault="0024052B" w:rsidP="00B65B6A">
      <w:pPr>
        <w:jc w:val="both"/>
      </w:pPr>
      <w:r>
        <w:t xml:space="preserve">L’intervento </w:t>
      </w:r>
      <w:r w:rsidR="005C6C8C">
        <w:t xml:space="preserve">intensivo </w:t>
      </w:r>
      <w:r>
        <w:t xml:space="preserve">era articolato in base a specifici, pre-ordinati, </w:t>
      </w:r>
      <w:r w:rsidRPr="0024052B">
        <w:rPr>
          <w:b/>
        </w:rPr>
        <w:t>messaggi chiave</w:t>
      </w:r>
      <w:r>
        <w:t xml:space="preserve"> finalizzati al miglioramento delle abitudini alimentari, all’incentivazione della pratica sportiva e alla promozione di stili di vita salutari.</w:t>
      </w:r>
    </w:p>
    <w:p w:rsidR="0024052B" w:rsidRPr="0024052B" w:rsidRDefault="0024052B">
      <w:pPr>
        <w:rPr>
          <w:b/>
        </w:rPr>
      </w:pPr>
      <w:r w:rsidRPr="0024052B">
        <w:rPr>
          <w:b/>
        </w:rPr>
        <w:t>I messaggi chiave:</w:t>
      </w:r>
    </w:p>
    <w:tbl>
      <w:tblPr>
        <w:tblStyle w:val="Grigliatabella"/>
        <w:tblW w:w="0" w:type="auto"/>
        <w:tblLook w:val="04A0"/>
      </w:tblPr>
      <w:tblGrid>
        <w:gridCol w:w="3510"/>
        <w:gridCol w:w="3261"/>
        <w:gridCol w:w="2835"/>
      </w:tblGrid>
      <w:tr w:rsidR="00B65B6A" w:rsidRPr="00B65B6A" w:rsidTr="00B65B6A">
        <w:tc>
          <w:tcPr>
            <w:tcW w:w="3510" w:type="dxa"/>
          </w:tcPr>
          <w:p w:rsidR="00B65B6A" w:rsidRPr="00B65B6A" w:rsidRDefault="00B65B6A" w:rsidP="00B65B6A">
            <w:pPr>
              <w:jc w:val="center"/>
              <w:rPr>
                <w:b/>
                <w:i/>
              </w:rPr>
            </w:pPr>
            <w:r w:rsidRPr="00B65B6A">
              <w:rPr>
                <w:b/>
                <w:i/>
              </w:rPr>
              <w:t>Alimentazione</w:t>
            </w:r>
          </w:p>
        </w:tc>
        <w:tc>
          <w:tcPr>
            <w:tcW w:w="3261" w:type="dxa"/>
          </w:tcPr>
          <w:p w:rsidR="00B65B6A" w:rsidRPr="00B65B6A" w:rsidRDefault="00B65B6A" w:rsidP="00B65B6A">
            <w:pPr>
              <w:jc w:val="center"/>
              <w:rPr>
                <w:b/>
                <w:i/>
              </w:rPr>
            </w:pPr>
            <w:r>
              <w:rPr>
                <w:b/>
                <w:i/>
              </w:rPr>
              <w:t xml:space="preserve">Attività fisica </w:t>
            </w:r>
          </w:p>
        </w:tc>
        <w:tc>
          <w:tcPr>
            <w:tcW w:w="2835" w:type="dxa"/>
          </w:tcPr>
          <w:p w:rsidR="00B65B6A" w:rsidRPr="00B65B6A" w:rsidRDefault="00B65B6A" w:rsidP="00B65B6A">
            <w:pPr>
              <w:jc w:val="center"/>
              <w:rPr>
                <w:b/>
                <w:i/>
              </w:rPr>
            </w:pPr>
            <w:r>
              <w:rPr>
                <w:b/>
                <w:i/>
              </w:rPr>
              <w:t>Vita sociale</w:t>
            </w:r>
          </w:p>
        </w:tc>
      </w:tr>
      <w:tr w:rsidR="00B65B6A" w:rsidTr="00B65B6A">
        <w:tc>
          <w:tcPr>
            <w:tcW w:w="3510" w:type="dxa"/>
          </w:tcPr>
          <w:p w:rsidR="00B65B6A" w:rsidRDefault="00B65B6A" w:rsidP="00B65B6A">
            <w:pPr>
              <w:pStyle w:val="Paragrafoelenco"/>
              <w:numPr>
                <w:ilvl w:val="0"/>
                <w:numId w:val="4"/>
              </w:numPr>
              <w:ind w:left="284" w:hanging="284"/>
            </w:pPr>
            <w:r>
              <w:t>Bevi acqua</w:t>
            </w:r>
          </w:p>
        </w:tc>
        <w:tc>
          <w:tcPr>
            <w:tcW w:w="3261" w:type="dxa"/>
          </w:tcPr>
          <w:p w:rsidR="00B65B6A" w:rsidRDefault="00B65B6A" w:rsidP="00B65B6A">
            <w:pPr>
              <w:pStyle w:val="Paragrafoelenco"/>
              <w:numPr>
                <w:ilvl w:val="0"/>
                <w:numId w:val="4"/>
              </w:numPr>
              <w:ind w:left="284" w:hanging="284"/>
            </w:pPr>
            <w:r>
              <w:t>Meno televisione</w:t>
            </w:r>
          </w:p>
        </w:tc>
        <w:tc>
          <w:tcPr>
            <w:tcW w:w="2835" w:type="dxa"/>
          </w:tcPr>
          <w:p w:rsidR="00B65B6A" w:rsidRDefault="00B65B6A" w:rsidP="00B65B6A">
            <w:pPr>
              <w:pStyle w:val="Paragrafoelenco"/>
              <w:numPr>
                <w:ilvl w:val="0"/>
                <w:numId w:val="4"/>
              </w:numPr>
              <w:ind w:left="284" w:hanging="284"/>
            </w:pPr>
            <w:r>
              <w:t>Più spesso insieme</w:t>
            </w:r>
          </w:p>
        </w:tc>
      </w:tr>
      <w:tr w:rsidR="00B65B6A" w:rsidTr="00B65B6A">
        <w:tc>
          <w:tcPr>
            <w:tcW w:w="3510" w:type="dxa"/>
          </w:tcPr>
          <w:p w:rsidR="00B65B6A" w:rsidRDefault="00B65B6A" w:rsidP="00B65B6A">
            <w:pPr>
              <w:pStyle w:val="Paragrafoelenco"/>
              <w:numPr>
                <w:ilvl w:val="0"/>
                <w:numId w:val="4"/>
              </w:numPr>
              <w:ind w:left="284" w:hanging="284"/>
            </w:pPr>
            <w:r>
              <w:t>Mangia più frutta e verdura</w:t>
            </w:r>
          </w:p>
        </w:tc>
        <w:tc>
          <w:tcPr>
            <w:tcW w:w="3261" w:type="dxa"/>
          </w:tcPr>
          <w:p w:rsidR="00B65B6A" w:rsidRDefault="00B65B6A" w:rsidP="00B65B6A">
            <w:pPr>
              <w:pStyle w:val="Paragrafoelenco"/>
              <w:numPr>
                <w:ilvl w:val="0"/>
                <w:numId w:val="4"/>
              </w:numPr>
              <w:ind w:left="284" w:hanging="284"/>
            </w:pPr>
            <w:r>
              <w:t>Più attività fisica</w:t>
            </w:r>
          </w:p>
        </w:tc>
        <w:tc>
          <w:tcPr>
            <w:tcW w:w="2835" w:type="dxa"/>
          </w:tcPr>
          <w:p w:rsidR="00B65B6A" w:rsidRDefault="00B65B6A" w:rsidP="00B65B6A">
            <w:pPr>
              <w:pStyle w:val="Paragrafoelenco"/>
              <w:numPr>
                <w:ilvl w:val="0"/>
                <w:numId w:val="4"/>
              </w:numPr>
              <w:ind w:left="284" w:hanging="284"/>
            </w:pPr>
            <w:r>
              <w:t>Dormi di più e meglio</w:t>
            </w:r>
          </w:p>
        </w:tc>
      </w:tr>
    </w:tbl>
    <w:p w:rsidR="00B65B6A" w:rsidRDefault="00B65B6A" w:rsidP="00B65B6A"/>
    <w:p w:rsidR="00B65B6A" w:rsidRPr="0024052B" w:rsidRDefault="00B65B6A" w:rsidP="00B65B6A">
      <w:pPr>
        <w:jc w:val="both"/>
      </w:pPr>
      <w:r>
        <w:t>Ciascuno dei suddetti messaggi-chiave era proposto e sviluppato a scuola nel corso di specifiche “Settimane della salute”, una al mese, cui partecipavano bambini, genitori e insegnanti. Ciascun messaggio-chiave era trattato secondo moduli predefiniti.</w:t>
      </w:r>
    </w:p>
    <w:p w:rsidR="00B65B6A" w:rsidRPr="0024052B" w:rsidRDefault="00B65B6A" w:rsidP="00B65B6A">
      <w:pPr>
        <w:rPr>
          <w:b/>
        </w:rPr>
      </w:pPr>
      <w:r w:rsidRPr="0024052B">
        <w:rPr>
          <w:b/>
        </w:rPr>
        <w:t xml:space="preserve">I </w:t>
      </w:r>
      <w:r>
        <w:rPr>
          <w:b/>
        </w:rPr>
        <w:t>Moduli di intervento</w:t>
      </w:r>
      <w:r w:rsidRPr="0024052B">
        <w:rPr>
          <w:b/>
        </w:rPr>
        <w:t>:</w:t>
      </w:r>
    </w:p>
    <w:tbl>
      <w:tblPr>
        <w:tblW w:w="4409"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1936"/>
        <w:gridCol w:w="1649"/>
        <w:gridCol w:w="1778"/>
        <w:gridCol w:w="1681"/>
        <w:gridCol w:w="1742"/>
      </w:tblGrid>
      <w:tr w:rsidR="00E56731" w:rsidRPr="00922528" w:rsidTr="00B65B6A">
        <w:trPr>
          <w:tblCellSpacing w:w="20" w:type="dxa"/>
          <w:jc w:val="center"/>
        </w:trPr>
        <w:tc>
          <w:tcPr>
            <w:tcW w:w="1068" w:type="pct"/>
            <w:shd w:val="clear" w:color="auto" w:fill="auto"/>
            <w:vAlign w:val="center"/>
          </w:tcPr>
          <w:p w:rsidR="00E56731" w:rsidRPr="0024052B" w:rsidRDefault="00E56731" w:rsidP="00EF70CB">
            <w:pPr>
              <w:keepNext/>
              <w:spacing w:after="0"/>
              <w:jc w:val="center"/>
              <w:rPr>
                <w:rFonts w:cs="Arial"/>
                <w:b/>
                <w:sz w:val="20"/>
                <w:szCs w:val="20"/>
              </w:rPr>
            </w:pPr>
          </w:p>
        </w:tc>
        <w:tc>
          <w:tcPr>
            <w:tcW w:w="916" w:type="pct"/>
            <w:shd w:val="clear" w:color="auto" w:fill="auto"/>
            <w:vAlign w:val="center"/>
          </w:tcPr>
          <w:p w:rsidR="00E56731" w:rsidRPr="00922528" w:rsidRDefault="00B65B6A" w:rsidP="00EF70CB">
            <w:pPr>
              <w:keepNext/>
              <w:spacing w:after="0"/>
              <w:jc w:val="center"/>
              <w:rPr>
                <w:rFonts w:cs="Arial"/>
                <w:b/>
                <w:sz w:val="20"/>
                <w:szCs w:val="20"/>
              </w:rPr>
            </w:pPr>
            <w:r>
              <w:rPr>
                <w:rFonts w:cs="Arial"/>
                <w:b/>
                <w:sz w:val="20"/>
                <w:szCs w:val="20"/>
              </w:rPr>
              <w:t>Com</w:t>
            </w:r>
            <w:r w:rsidR="00E56731" w:rsidRPr="00922528">
              <w:rPr>
                <w:rFonts w:cs="Arial"/>
                <w:b/>
                <w:sz w:val="20"/>
                <w:szCs w:val="20"/>
              </w:rPr>
              <w:t>unit</w:t>
            </w:r>
            <w:r>
              <w:rPr>
                <w:rFonts w:cs="Arial"/>
                <w:b/>
                <w:sz w:val="20"/>
                <w:szCs w:val="20"/>
              </w:rPr>
              <w:t>à</w:t>
            </w:r>
          </w:p>
        </w:tc>
        <w:tc>
          <w:tcPr>
            <w:tcW w:w="989" w:type="pct"/>
            <w:shd w:val="clear" w:color="auto" w:fill="auto"/>
            <w:vAlign w:val="center"/>
          </w:tcPr>
          <w:p w:rsidR="00E56731" w:rsidRPr="00922528" w:rsidRDefault="00E56731" w:rsidP="00EF70CB">
            <w:pPr>
              <w:keepNext/>
              <w:spacing w:after="0"/>
              <w:jc w:val="center"/>
              <w:rPr>
                <w:rFonts w:cs="Arial"/>
                <w:b/>
                <w:sz w:val="20"/>
                <w:szCs w:val="20"/>
              </w:rPr>
            </w:pPr>
            <w:r w:rsidRPr="00922528">
              <w:rPr>
                <w:rFonts w:cs="Arial"/>
                <w:b/>
                <w:sz w:val="20"/>
                <w:szCs w:val="20"/>
              </w:rPr>
              <w:t>Sc</w:t>
            </w:r>
            <w:r w:rsidR="00B65B6A">
              <w:rPr>
                <w:rFonts w:cs="Arial"/>
                <w:b/>
                <w:sz w:val="20"/>
                <w:szCs w:val="20"/>
              </w:rPr>
              <w:t>uola</w:t>
            </w:r>
          </w:p>
        </w:tc>
        <w:tc>
          <w:tcPr>
            <w:tcW w:w="934" w:type="pct"/>
            <w:shd w:val="clear" w:color="auto" w:fill="auto"/>
            <w:vAlign w:val="center"/>
          </w:tcPr>
          <w:p w:rsidR="00E56731" w:rsidRPr="00922528" w:rsidRDefault="00E56731" w:rsidP="00EF70CB">
            <w:pPr>
              <w:keepNext/>
              <w:spacing w:after="0"/>
              <w:jc w:val="center"/>
              <w:rPr>
                <w:rFonts w:cs="Arial"/>
                <w:b/>
                <w:sz w:val="20"/>
                <w:szCs w:val="20"/>
              </w:rPr>
            </w:pPr>
            <w:r w:rsidRPr="00922528">
              <w:rPr>
                <w:rFonts w:cs="Arial"/>
                <w:b/>
                <w:sz w:val="20"/>
                <w:szCs w:val="20"/>
              </w:rPr>
              <w:t>Fami</w:t>
            </w:r>
            <w:r w:rsidR="00B65B6A">
              <w:rPr>
                <w:rFonts w:cs="Arial"/>
                <w:b/>
                <w:sz w:val="20"/>
                <w:szCs w:val="20"/>
              </w:rPr>
              <w:t>glia</w:t>
            </w:r>
          </w:p>
        </w:tc>
        <w:tc>
          <w:tcPr>
            <w:tcW w:w="957" w:type="pct"/>
            <w:shd w:val="clear" w:color="auto" w:fill="auto"/>
            <w:vAlign w:val="center"/>
          </w:tcPr>
          <w:p w:rsidR="00E56731" w:rsidRPr="00922528" w:rsidRDefault="00E56731" w:rsidP="00B65B6A">
            <w:pPr>
              <w:keepNext/>
              <w:spacing w:after="0"/>
              <w:jc w:val="center"/>
              <w:rPr>
                <w:rFonts w:cs="Arial"/>
                <w:b/>
                <w:sz w:val="20"/>
                <w:szCs w:val="20"/>
              </w:rPr>
            </w:pPr>
            <w:r w:rsidRPr="00922528">
              <w:rPr>
                <w:rFonts w:cs="Arial"/>
                <w:b/>
                <w:sz w:val="20"/>
                <w:szCs w:val="20"/>
              </w:rPr>
              <w:t>Individu</w:t>
            </w:r>
            <w:r w:rsidR="00B65B6A">
              <w:rPr>
                <w:rFonts w:cs="Arial"/>
                <w:b/>
                <w:sz w:val="20"/>
                <w:szCs w:val="20"/>
              </w:rPr>
              <w:t>o</w:t>
            </w:r>
          </w:p>
        </w:tc>
      </w:tr>
      <w:tr w:rsidR="00E56731" w:rsidRPr="00922528" w:rsidTr="00B65B6A">
        <w:trPr>
          <w:tblCellSpacing w:w="20" w:type="dxa"/>
          <w:jc w:val="center"/>
        </w:trPr>
        <w:tc>
          <w:tcPr>
            <w:tcW w:w="1068" w:type="pct"/>
            <w:shd w:val="clear" w:color="auto" w:fill="auto"/>
            <w:vAlign w:val="center"/>
          </w:tcPr>
          <w:p w:rsidR="00E56731" w:rsidRPr="00922528" w:rsidRDefault="00B65B6A" w:rsidP="00EF70CB">
            <w:pPr>
              <w:keepNext/>
              <w:spacing w:after="0"/>
              <w:rPr>
                <w:rFonts w:cs="Arial"/>
                <w:b/>
                <w:sz w:val="20"/>
                <w:szCs w:val="20"/>
              </w:rPr>
            </w:pPr>
            <w:r>
              <w:rPr>
                <w:rFonts w:cs="Arial"/>
                <w:b/>
                <w:sz w:val="20"/>
                <w:szCs w:val="20"/>
              </w:rPr>
              <w:t>Alimentazione</w:t>
            </w:r>
          </w:p>
        </w:tc>
        <w:tc>
          <w:tcPr>
            <w:tcW w:w="916" w:type="pct"/>
            <w:shd w:val="clear" w:color="auto" w:fill="auto"/>
            <w:vAlign w:val="center"/>
          </w:tcPr>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1</w:t>
            </w:r>
          </w:p>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2</w:t>
            </w:r>
          </w:p>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3</w:t>
            </w:r>
          </w:p>
        </w:tc>
        <w:tc>
          <w:tcPr>
            <w:tcW w:w="989" w:type="pct"/>
            <w:shd w:val="clear" w:color="auto" w:fill="auto"/>
            <w:vAlign w:val="center"/>
          </w:tcPr>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4</w:t>
            </w:r>
          </w:p>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8</w:t>
            </w:r>
          </w:p>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9</w:t>
            </w:r>
          </w:p>
        </w:tc>
        <w:tc>
          <w:tcPr>
            <w:tcW w:w="934" w:type="pct"/>
            <w:shd w:val="clear" w:color="auto" w:fill="auto"/>
            <w:vAlign w:val="center"/>
          </w:tcPr>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10</w:t>
            </w:r>
          </w:p>
        </w:tc>
        <w:tc>
          <w:tcPr>
            <w:tcW w:w="957" w:type="pct"/>
            <w:shd w:val="clear" w:color="auto" w:fill="auto"/>
            <w:vAlign w:val="center"/>
          </w:tcPr>
          <w:p w:rsidR="00E56731" w:rsidRPr="00922528" w:rsidRDefault="00B65B6A" w:rsidP="00EF70CB">
            <w:pPr>
              <w:spacing w:after="0"/>
              <w:ind w:left="31"/>
              <w:jc w:val="center"/>
              <w:rPr>
                <w:rFonts w:cs="Arial"/>
                <w:sz w:val="20"/>
                <w:szCs w:val="20"/>
              </w:rPr>
            </w:pPr>
            <w:r>
              <w:rPr>
                <w:rFonts w:cs="Arial"/>
                <w:sz w:val="20"/>
                <w:szCs w:val="20"/>
              </w:rPr>
              <w:t>Modulo</w:t>
            </w:r>
            <w:r w:rsidR="00E56731" w:rsidRPr="00922528">
              <w:rPr>
                <w:rFonts w:cs="Arial"/>
                <w:sz w:val="20"/>
                <w:szCs w:val="20"/>
              </w:rPr>
              <w:t xml:space="preserve"> 5</w:t>
            </w:r>
          </w:p>
        </w:tc>
      </w:tr>
      <w:tr w:rsidR="00E56731" w:rsidRPr="00922528" w:rsidTr="00B65B6A">
        <w:trPr>
          <w:tblCellSpacing w:w="20" w:type="dxa"/>
          <w:jc w:val="center"/>
        </w:trPr>
        <w:tc>
          <w:tcPr>
            <w:tcW w:w="1068" w:type="pct"/>
            <w:shd w:val="clear" w:color="auto" w:fill="auto"/>
            <w:vAlign w:val="center"/>
          </w:tcPr>
          <w:p w:rsidR="00E56731" w:rsidRPr="00922528" w:rsidRDefault="00B65B6A" w:rsidP="00EF70CB">
            <w:pPr>
              <w:keepNext/>
              <w:spacing w:after="0"/>
              <w:rPr>
                <w:rFonts w:cs="Arial"/>
                <w:b/>
                <w:sz w:val="20"/>
                <w:szCs w:val="20"/>
              </w:rPr>
            </w:pPr>
            <w:r>
              <w:rPr>
                <w:rFonts w:cs="Arial"/>
                <w:b/>
                <w:sz w:val="20"/>
                <w:szCs w:val="20"/>
              </w:rPr>
              <w:t>Attività fisica</w:t>
            </w:r>
          </w:p>
        </w:tc>
        <w:tc>
          <w:tcPr>
            <w:tcW w:w="916" w:type="pct"/>
            <w:shd w:val="clear" w:color="auto" w:fill="auto"/>
            <w:vAlign w:val="center"/>
          </w:tcPr>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1</w:t>
            </w:r>
          </w:p>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2</w:t>
            </w:r>
          </w:p>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3</w:t>
            </w:r>
          </w:p>
        </w:tc>
        <w:tc>
          <w:tcPr>
            <w:tcW w:w="989" w:type="pct"/>
            <w:shd w:val="clear" w:color="auto" w:fill="auto"/>
            <w:vAlign w:val="center"/>
          </w:tcPr>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4</w:t>
            </w:r>
          </w:p>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6</w:t>
            </w:r>
          </w:p>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7</w:t>
            </w:r>
          </w:p>
        </w:tc>
        <w:tc>
          <w:tcPr>
            <w:tcW w:w="934" w:type="pct"/>
            <w:shd w:val="clear" w:color="auto" w:fill="auto"/>
            <w:vAlign w:val="center"/>
          </w:tcPr>
          <w:p w:rsidR="00E56731" w:rsidRPr="00922528" w:rsidRDefault="00B65B6A" w:rsidP="00EF70CB">
            <w:pPr>
              <w:spacing w:after="0"/>
              <w:ind w:left="31"/>
              <w:jc w:val="center"/>
              <w:rPr>
                <w:rFonts w:cs="Arial"/>
                <w:sz w:val="20"/>
                <w:szCs w:val="20"/>
              </w:rPr>
            </w:pPr>
            <w:r>
              <w:rPr>
                <w:rFonts w:cs="Arial"/>
                <w:sz w:val="20"/>
                <w:szCs w:val="20"/>
              </w:rPr>
              <w:t>Modulo</w:t>
            </w:r>
            <w:r w:rsidR="00E56731" w:rsidRPr="00922528">
              <w:rPr>
                <w:rFonts w:cs="Arial"/>
                <w:sz w:val="20"/>
                <w:szCs w:val="20"/>
              </w:rPr>
              <w:t xml:space="preserve"> 10</w:t>
            </w:r>
          </w:p>
        </w:tc>
        <w:tc>
          <w:tcPr>
            <w:tcW w:w="957" w:type="pct"/>
            <w:shd w:val="clear" w:color="auto" w:fill="auto"/>
            <w:vAlign w:val="center"/>
          </w:tcPr>
          <w:p w:rsidR="00E56731" w:rsidRPr="00922528" w:rsidRDefault="00B65B6A" w:rsidP="00EF70CB">
            <w:pPr>
              <w:spacing w:after="0"/>
              <w:ind w:left="31"/>
              <w:jc w:val="center"/>
              <w:rPr>
                <w:rFonts w:cs="Arial"/>
                <w:sz w:val="20"/>
                <w:szCs w:val="20"/>
              </w:rPr>
            </w:pPr>
            <w:r>
              <w:rPr>
                <w:rFonts w:cs="Arial"/>
                <w:sz w:val="20"/>
                <w:szCs w:val="20"/>
              </w:rPr>
              <w:t>Modulo</w:t>
            </w:r>
            <w:r w:rsidR="00E56731" w:rsidRPr="00922528">
              <w:rPr>
                <w:rFonts w:cs="Arial"/>
                <w:sz w:val="20"/>
                <w:szCs w:val="20"/>
              </w:rPr>
              <w:t xml:space="preserve"> 5</w:t>
            </w:r>
          </w:p>
        </w:tc>
      </w:tr>
      <w:tr w:rsidR="00E56731" w:rsidRPr="00922528" w:rsidTr="00B65B6A">
        <w:trPr>
          <w:tblCellSpacing w:w="20" w:type="dxa"/>
          <w:jc w:val="center"/>
        </w:trPr>
        <w:tc>
          <w:tcPr>
            <w:tcW w:w="1068" w:type="pct"/>
            <w:shd w:val="clear" w:color="auto" w:fill="auto"/>
            <w:vAlign w:val="center"/>
          </w:tcPr>
          <w:p w:rsidR="00E56731" w:rsidRPr="00922528" w:rsidRDefault="00B65B6A" w:rsidP="00EF70CB">
            <w:pPr>
              <w:keepNext/>
              <w:spacing w:after="0"/>
              <w:rPr>
                <w:rFonts w:cs="Arial"/>
                <w:b/>
                <w:sz w:val="20"/>
                <w:szCs w:val="20"/>
              </w:rPr>
            </w:pPr>
            <w:r>
              <w:rPr>
                <w:rFonts w:cs="Arial"/>
                <w:b/>
                <w:sz w:val="20"/>
                <w:szCs w:val="20"/>
              </w:rPr>
              <w:t>Vita sociale</w:t>
            </w:r>
          </w:p>
        </w:tc>
        <w:tc>
          <w:tcPr>
            <w:tcW w:w="916" w:type="pct"/>
            <w:shd w:val="clear" w:color="auto" w:fill="auto"/>
            <w:vAlign w:val="center"/>
          </w:tcPr>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1</w:t>
            </w:r>
          </w:p>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2</w:t>
            </w:r>
          </w:p>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3</w:t>
            </w:r>
          </w:p>
        </w:tc>
        <w:tc>
          <w:tcPr>
            <w:tcW w:w="989" w:type="pct"/>
            <w:shd w:val="clear" w:color="auto" w:fill="auto"/>
            <w:vAlign w:val="center"/>
          </w:tcPr>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4</w:t>
            </w:r>
          </w:p>
        </w:tc>
        <w:tc>
          <w:tcPr>
            <w:tcW w:w="934" w:type="pct"/>
            <w:shd w:val="clear" w:color="auto" w:fill="auto"/>
            <w:vAlign w:val="center"/>
          </w:tcPr>
          <w:p w:rsidR="00E56731" w:rsidRPr="00922528" w:rsidRDefault="00B65B6A" w:rsidP="00EF70CB">
            <w:pPr>
              <w:spacing w:after="0"/>
              <w:jc w:val="center"/>
              <w:rPr>
                <w:rFonts w:cs="Arial"/>
                <w:sz w:val="20"/>
                <w:szCs w:val="20"/>
              </w:rPr>
            </w:pPr>
            <w:r>
              <w:rPr>
                <w:rFonts w:cs="Arial"/>
                <w:sz w:val="20"/>
                <w:szCs w:val="20"/>
              </w:rPr>
              <w:t>Modulo</w:t>
            </w:r>
            <w:r w:rsidR="00E56731" w:rsidRPr="00922528">
              <w:rPr>
                <w:rFonts w:cs="Arial"/>
                <w:sz w:val="20"/>
                <w:szCs w:val="20"/>
              </w:rPr>
              <w:t xml:space="preserve"> 10</w:t>
            </w:r>
          </w:p>
        </w:tc>
        <w:tc>
          <w:tcPr>
            <w:tcW w:w="957" w:type="pct"/>
            <w:shd w:val="clear" w:color="auto" w:fill="auto"/>
            <w:vAlign w:val="center"/>
          </w:tcPr>
          <w:p w:rsidR="00E56731" w:rsidRPr="00922528" w:rsidRDefault="00B65B6A" w:rsidP="00EF70CB">
            <w:pPr>
              <w:spacing w:after="0"/>
              <w:ind w:left="31"/>
              <w:jc w:val="center"/>
              <w:rPr>
                <w:rFonts w:cs="Arial"/>
                <w:sz w:val="20"/>
                <w:szCs w:val="20"/>
              </w:rPr>
            </w:pPr>
            <w:r>
              <w:rPr>
                <w:rFonts w:cs="Arial"/>
                <w:sz w:val="20"/>
                <w:szCs w:val="20"/>
              </w:rPr>
              <w:t>Modulo</w:t>
            </w:r>
            <w:r w:rsidR="00E56731" w:rsidRPr="00922528">
              <w:rPr>
                <w:rFonts w:cs="Arial"/>
                <w:sz w:val="20"/>
                <w:szCs w:val="20"/>
              </w:rPr>
              <w:t xml:space="preserve"> 5</w:t>
            </w:r>
          </w:p>
        </w:tc>
      </w:tr>
    </w:tbl>
    <w:p w:rsidR="005C6C8C" w:rsidRDefault="005C6C8C" w:rsidP="005C6C8C">
      <w:pPr>
        <w:spacing w:after="100" w:afterAutospacing="1" w:line="240" w:lineRule="auto"/>
        <w:ind w:left="714"/>
        <w:rPr>
          <w:sz w:val="20"/>
          <w:szCs w:val="20"/>
        </w:rPr>
      </w:pPr>
    </w:p>
    <w:p w:rsidR="00E56731" w:rsidRPr="00B65B6A" w:rsidRDefault="00B65B6A" w:rsidP="00E56731">
      <w:pPr>
        <w:numPr>
          <w:ilvl w:val="0"/>
          <w:numId w:val="2"/>
        </w:numPr>
        <w:spacing w:after="100" w:afterAutospacing="1" w:line="240" w:lineRule="auto"/>
        <w:ind w:left="714" w:hanging="357"/>
        <w:rPr>
          <w:sz w:val="20"/>
          <w:szCs w:val="20"/>
        </w:rPr>
      </w:pPr>
      <w:r w:rsidRPr="00B65B6A">
        <w:rPr>
          <w:sz w:val="20"/>
          <w:szCs w:val="20"/>
        </w:rPr>
        <w:t>Modulo</w:t>
      </w:r>
      <w:r w:rsidR="00E56731" w:rsidRPr="00B65B6A">
        <w:rPr>
          <w:sz w:val="20"/>
          <w:szCs w:val="20"/>
        </w:rPr>
        <w:t xml:space="preserve"> 1: </w:t>
      </w:r>
      <w:r w:rsidRPr="00B65B6A">
        <w:rPr>
          <w:sz w:val="20"/>
          <w:szCs w:val="20"/>
        </w:rPr>
        <w:t>Creazione di una piattaforma di comunità</w:t>
      </w:r>
    </w:p>
    <w:p w:rsidR="00E56731" w:rsidRPr="00B65B6A" w:rsidRDefault="00B65B6A" w:rsidP="00E56731">
      <w:pPr>
        <w:numPr>
          <w:ilvl w:val="0"/>
          <w:numId w:val="2"/>
        </w:numPr>
        <w:spacing w:before="100" w:beforeAutospacing="1" w:after="100" w:afterAutospacing="1" w:line="240" w:lineRule="auto"/>
        <w:ind w:left="714" w:hanging="357"/>
        <w:rPr>
          <w:sz w:val="20"/>
          <w:szCs w:val="20"/>
        </w:rPr>
      </w:pPr>
      <w:r w:rsidRPr="00B65B6A">
        <w:rPr>
          <w:sz w:val="20"/>
          <w:szCs w:val="20"/>
        </w:rPr>
        <w:t>Modulo</w:t>
      </w:r>
      <w:r w:rsidR="00E56731" w:rsidRPr="00B65B6A">
        <w:rPr>
          <w:sz w:val="20"/>
          <w:szCs w:val="20"/>
        </w:rPr>
        <w:t xml:space="preserve"> 2: </w:t>
      </w:r>
      <w:r w:rsidRPr="00B65B6A">
        <w:rPr>
          <w:sz w:val="20"/>
          <w:szCs w:val="20"/>
        </w:rPr>
        <w:t>Promozione a mezzo stampa locale dell’iniziativa in corso</w:t>
      </w:r>
    </w:p>
    <w:p w:rsidR="00E56731" w:rsidRPr="00E56731" w:rsidRDefault="00B65B6A" w:rsidP="00E56731">
      <w:pPr>
        <w:numPr>
          <w:ilvl w:val="0"/>
          <w:numId w:val="2"/>
        </w:numPr>
        <w:spacing w:before="100" w:beforeAutospacing="1" w:after="100" w:afterAutospacing="1" w:line="240" w:lineRule="auto"/>
        <w:ind w:left="714" w:hanging="357"/>
        <w:rPr>
          <w:sz w:val="20"/>
          <w:szCs w:val="20"/>
          <w:lang w:val="en-US"/>
        </w:rPr>
      </w:pPr>
      <w:r>
        <w:rPr>
          <w:sz w:val="20"/>
          <w:szCs w:val="20"/>
          <w:lang w:val="en-US"/>
        </w:rPr>
        <w:t>Modulo</w:t>
      </w:r>
      <w:r w:rsidR="00E56731" w:rsidRPr="00E56731">
        <w:rPr>
          <w:sz w:val="20"/>
          <w:szCs w:val="20"/>
          <w:lang w:val="en-US"/>
        </w:rPr>
        <w:t xml:space="preserve"> 3: </w:t>
      </w:r>
      <w:r>
        <w:rPr>
          <w:sz w:val="20"/>
          <w:szCs w:val="20"/>
          <w:lang w:val="en-US"/>
        </w:rPr>
        <w:t xml:space="preserve">Networking </w:t>
      </w:r>
      <w:proofErr w:type="spellStart"/>
      <w:r>
        <w:rPr>
          <w:sz w:val="20"/>
          <w:szCs w:val="20"/>
          <w:lang w:val="en-US"/>
        </w:rPr>
        <w:t>delle</w:t>
      </w:r>
      <w:proofErr w:type="spellEnd"/>
      <w:r>
        <w:rPr>
          <w:sz w:val="20"/>
          <w:szCs w:val="20"/>
          <w:lang w:val="en-US"/>
        </w:rPr>
        <w:t xml:space="preserve"> </w:t>
      </w:r>
      <w:proofErr w:type="spellStart"/>
      <w:r>
        <w:rPr>
          <w:sz w:val="20"/>
          <w:szCs w:val="20"/>
          <w:lang w:val="en-US"/>
        </w:rPr>
        <w:t>Istituzioni</w:t>
      </w:r>
      <w:proofErr w:type="spellEnd"/>
      <w:r>
        <w:rPr>
          <w:sz w:val="20"/>
          <w:szCs w:val="20"/>
          <w:lang w:val="en-US"/>
        </w:rPr>
        <w:t xml:space="preserve"> </w:t>
      </w:r>
      <w:proofErr w:type="spellStart"/>
      <w:r>
        <w:rPr>
          <w:sz w:val="20"/>
          <w:szCs w:val="20"/>
          <w:lang w:val="en-US"/>
        </w:rPr>
        <w:t>locali</w:t>
      </w:r>
      <w:proofErr w:type="spellEnd"/>
    </w:p>
    <w:p w:rsidR="00E56731" w:rsidRPr="00D84726" w:rsidRDefault="00B65B6A" w:rsidP="00E56731">
      <w:pPr>
        <w:numPr>
          <w:ilvl w:val="0"/>
          <w:numId w:val="2"/>
        </w:numPr>
        <w:spacing w:before="100" w:beforeAutospacing="1" w:after="100" w:afterAutospacing="1" w:line="240" w:lineRule="auto"/>
        <w:ind w:left="714" w:hanging="357"/>
        <w:rPr>
          <w:sz w:val="20"/>
          <w:szCs w:val="20"/>
        </w:rPr>
      </w:pPr>
      <w:r>
        <w:rPr>
          <w:sz w:val="20"/>
          <w:szCs w:val="20"/>
        </w:rPr>
        <w:t>Modulo</w:t>
      </w:r>
      <w:r w:rsidR="00E56731" w:rsidRPr="00D84726">
        <w:rPr>
          <w:sz w:val="20"/>
          <w:szCs w:val="20"/>
        </w:rPr>
        <w:t xml:space="preserve"> 4: </w:t>
      </w:r>
      <w:r>
        <w:rPr>
          <w:sz w:val="20"/>
          <w:szCs w:val="20"/>
        </w:rPr>
        <w:t xml:space="preserve">Collaborazioni con </w:t>
      </w:r>
      <w:proofErr w:type="spellStart"/>
      <w:r w:rsidRPr="00B65B6A">
        <w:rPr>
          <w:i/>
          <w:sz w:val="20"/>
          <w:szCs w:val="20"/>
        </w:rPr>
        <w:t>stakeholders</w:t>
      </w:r>
      <w:proofErr w:type="spellEnd"/>
      <w:r>
        <w:rPr>
          <w:sz w:val="20"/>
          <w:szCs w:val="20"/>
        </w:rPr>
        <w:t xml:space="preserve"> esterni</w:t>
      </w:r>
    </w:p>
    <w:p w:rsidR="00E56731" w:rsidRPr="00D84726" w:rsidRDefault="00B65B6A" w:rsidP="00E56731">
      <w:pPr>
        <w:numPr>
          <w:ilvl w:val="0"/>
          <w:numId w:val="2"/>
        </w:numPr>
        <w:spacing w:before="100" w:beforeAutospacing="1" w:after="100" w:afterAutospacing="1" w:line="240" w:lineRule="auto"/>
        <w:ind w:left="714" w:hanging="357"/>
        <w:rPr>
          <w:sz w:val="20"/>
          <w:szCs w:val="20"/>
        </w:rPr>
      </w:pPr>
      <w:r>
        <w:rPr>
          <w:sz w:val="20"/>
          <w:szCs w:val="20"/>
        </w:rPr>
        <w:t>Modulo</w:t>
      </w:r>
      <w:r w:rsidR="00E56731" w:rsidRPr="00D84726">
        <w:rPr>
          <w:sz w:val="20"/>
          <w:szCs w:val="20"/>
        </w:rPr>
        <w:t xml:space="preserve"> 5: </w:t>
      </w:r>
      <w:r>
        <w:rPr>
          <w:sz w:val="20"/>
          <w:szCs w:val="20"/>
        </w:rPr>
        <w:t>Formazione dei bambini</w:t>
      </w:r>
    </w:p>
    <w:p w:rsidR="00E56731" w:rsidRPr="00B65B6A" w:rsidRDefault="00B65B6A" w:rsidP="00E56731">
      <w:pPr>
        <w:numPr>
          <w:ilvl w:val="0"/>
          <w:numId w:val="2"/>
        </w:numPr>
        <w:spacing w:before="100" w:beforeAutospacing="1" w:after="100" w:afterAutospacing="1" w:line="240" w:lineRule="auto"/>
        <w:ind w:left="714" w:hanging="357"/>
        <w:rPr>
          <w:sz w:val="20"/>
          <w:szCs w:val="20"/>
        </w:rPr>
      </w:pPr>
      <w:r w:rsidRPr="00B65B6A">
        <w:rPr>
          <w:sz w:val="20"/>
          <w:szCs w:val="20"/>
        </w:rPr>
        <w:t>Modulo</w:t>
      </w:r>
      <w:r w:rsidR="00E56731" w:rsidRPr="00B65B6A">
        <w:rPr>
          <w:sz w:val="20"/>
          <w:szCs w:val="20"/>
        </w:rPr>
        <w:t xml:space="preserve"> 6: </w:t>
      </w:r>
      <w:r w:rsidRPr="00B65B6A">
        <w:rPr>
          <w:sz w:val="20"/>
          <w:szCs w:val="20"/>
        </w:rPr>
        <w:t>Intervento sull’ambiente per incoraggiare l’attività</w:t>
      </w:r>
      <w:r>
        <w:rPr>
          <w:sz w:val="20"/>
          <w:szCs w:val="20"/>
        </w:rPr>
        <w:t xml:space="preserve"> fisica</w:t>
      </w:r>
    </w:p>
    <w:p w:rsidR="00E56731" w:rsidRPr="005C6C8C" w:rsidRDefault="00B65B6A" w:rsidP="00E56731">
      <w:pPr>
        <w:numPr>
          <w:ilvl w:val="0"/>
          <w:numId w:val="2"/>
        </w:numPr>
        <w:spacing w:before="100" w:beforeAutospacing="1" w:after="100" w:afterAutospacing="1" w:line="240" w:lineRule="auto"/>
        <w:ind w:left="714" w:hanging="357"/>
        <w:rPr>
          <w:sz w:val="20"/>
          <w:szCs w:val="20"/>
        </w:rPr>
      </w:pPr>
      <w:r w:rsidRPr="005C6C8C">
        <w:rPr>
          <w:sz w:val="20"/>
          <w:szCs w:val="20"/>
        </w:rPr>
        <w:t>Modulo</w:t>
      </w:r>
      <w:r w:rsidR="00E56731" w:rsidRPr="005C6C8C">
        <w:rPr>
          <w:sz w:val="20"/>
          <w:szCs w:val="20"/>
        </w:rPr>
        <w:t xml:space="preserve"> 7: </w:t>
      </w:r>
      <w:r w:rsidR="005C6C8C" w:rsidRPr="005C6C8C">
        <w:rPr>
          <w:sz w:val="20"/>
          <w:szCs w:val="20"/>
        </w:rPr>
        <w:t>Inserimento dell’attività fisica nell’attività curricolare</w:t>
      </w:r>
    </w:p>
    <w:p w:rsidR="00E56731" w:rsidRPr="005C6C8C" w:rsidRDefault="00B65B6A" w:rsidP="00E56731">
      <w:pPr>
        <w:numPr>
          <w:ilvl w:val="0"/>
          <w:numId w:val="2"/>
        </w:numPr>
        <w:spacing w:before="100" w:beforeAutospacing="1" w:after="100" w:afterAutospacing="1" w:line="240" w:lineRule="auto"/>
        <w:ind w:left="714" w:hanging="357"/>
        <w:rPr>
          <w:sz w:val="20"/>
          <w:szCs w:val="20"/>
        </w:rPr>
      </w:pPr>
      <w:r w:rsidRPr="005C6C8C">
        <w:rPr>
          <w:sz w:val="20"/>
          <w:szCs w:val="20"/>
        </w:rPr>
        <w:t>Modulo</w:t>
      </w:r>
      <w:r w:rsidR="00E56731" w:rsidRPr="005C6C8C">
        <w:rPr>
          <w:sz w:val="20"/>
          <w:szCs w:val="20"/>
        </w:rPr>
        <w:t xml:space="preserve"> 8: </w:t>
      </w:r>
      <w:r w:rsidR="005C6C8C" w:rsidRPr="00B65B6A">
        <w:rPr>
          <w:sz w:val="20"/>
          <w:szCs w:val="20"/>
        </w:rPr>
        <w:t>Intervento sull’</w:t>
      </w:r>
      <w:r w:rsidR="005C6C8C">
        <w:rPr>
          <w:sz w:val="20"/>
          <w:szCs w:val="20"/>
        </w:rPr>
        <w:t>ambiente per incoraggiare il consumo di acqua</w:t>
      </w:r>
    </w:p>
    <w:p w:rsidR="005C6C8C" w:rsidRDefault="00B65B6A" w:rsidP="00E56731">
      <w:pPr>
        <w:numPr>
          <w:ilvl w:val="0"/>
          <w:numId w:val="2"/>
        </w:numPr>
        <w:spacing w:before="100" w:beforeAutospacing="1" w:after="100" w:afterAutospacing="1" w:line="240" w:lineRule="auto"/>
        <w:ind w:left="714" w:hanging="357"/>
        <w:rPr>
          <w:sz w:val="20"/>
          <w:szCs w:val="20"/>
        </w:rPr>
      </w:pPr>
      <w:r w:rsidRPr="005C6C8C">
        <w:rPr>
          <w:sz w:val="20"/>
          <w:szCs w:val="20"/>
        </w:rPr>
        <w:t>Modulo</w:t>
      </w:r>
      <w:r w:rsidR="00E56731" w:rsidRPr="005C6C8C">
        <w:rPr>
          <w:sz w:val="20"/>
          <w:szCs w:val="20"/>
        </w:rPr>
        <w:t xml:space="preserve"> 9: </w:t>
      </w:r>
      <w:r w:rsidR="005C6C8C" w:rsidRPr="00B65B6A">
        <w:rPr>
          <w:sz w:val="20"/>
          <w:szCs w:val="20"/>
        </w:rPr>
        <w:t xml:space="preserve">Intervento sull’ambiente per incoraggiare </w:t>
      </w:r>
      <w:r w:rsidR="005C6C8C">
        <w:rPr>
          <w:sz w:val="20"/>
          <w:szCs w:val="20"/>
        </w:rPr>
        <w:t>il consumo di frutta e vegetali</w:t>
      </w:r>
      <w:r w:rsidR="005C6C8C" w:rsidRPr="005C6C8C">
        <w:rPr>
          <w:sz w:val="20"/>
          <w:szCs w:val="20"/>
        </w:rPr>
        <w:t xml:space="preserve"> </w:t>
      </w:r>
    </w:p>
    <w:p w:rsidR="00E56731" w:rsidRPr="005C6C8C" w:rsidRDefault="00B65B6A" w:rsidP="00E56731">
      <w:pPr>
        <w:numPr>
          <w:ilvl w:val="0"/>
          <w:numId w:val="2"/>
        </w:numPr>
        <w:spacing w:before="100" w:beforeAutospacing="1" w:after="100" w:afterAutospacing="1" w:line="240" w:lineRule="auto"/>
        <w:ind w:left="714" w:hanging="357"/>
        <w:rPr>
          <w:sz w:val="20"/>
          <w:szCs w:val="20"/>
        </w:rPr>
      </w:pPr>
      <w:r w:rsidRPr="005C6C8C">
        <w:rPr>
          <w:sz w:val="20"/>
          <w:szCs w:val="20"/>
        </w:rPr>
        <w:t>Modulo</w:t>
      </w:r>
      <w:r w:rsidR="00E56731" w:rsidRPr="005C6C8C">
        <w:rPr>
          <w:sz w:val="20"/>
          <w:szCs w:val="20"/>
        </w:rPr>
        <w:t xml:space="preserve"> 10: </w:t>
      </w:r>
      <w:r w:rsidR="005C6C8C">
        <w:rPr>
          <w:sz w:val="20"/>
          <w:szCs w:val="20"/>
        </w:rPr>
        <w:t>Formazione dei genitori</w:t>
      </w:r>
    </w:p>
    <w:p w:rsidR="00E56731" w:rsidRDefault="00E56731">
      <w:pPr>
        <w:rPr>
          <w:lang w:val="en-GB"/>
        </w:rPr>
      </w:pPr>
    </w:p>
    <w:p w:rsidR="00E56731" w:rsidRPr="00D84726" w:rsidRDefault="00266000" w:rsidP="00E56731">
      <w:pPr>
        <w:keepNext/>
        <w:spacing w:after="0"/>
      </w:pPr>
      <w:r>
        <w:rPr>
          <w:lang w:eastAsia="de-DE"/>
        </w:rPr>
        <w:lastRenderedPageBreak/>
        <w:pict>
          <v:rect id="Rectangle 5" o:spid="_x0000_s1062" style="position:absolute;margin-left:-70.9pt;margin-top:116.3pt;width:16.7pt;height:47.1pt;z-index:251660288;visibility:visible;mso-wrap-style:none;v-text-anchor:middle" filled="f" stroked="f">
            <v:textbox style="mso-rotate-with-shape:t;mso-fit-shape-to-text:t">
              <w:txbxContent>
                <w:p w:rsidR="00E56731" w:rsidRDefault="00E56731" w:rsidP="00E56731">
                  <w:pPr>
                    <w:autoSpaceDE w:val="0"/>
                    <w:autoSpaceDN w:val="0"/>
                    <w:adjustRightInd w:val="0"/>
                    <w:jc w:val="center"/>
                    <w:rPr>
                      <w:rFonts w:ascii="Arial" w:eastAsia="MS PGothic" w:hAnsi="Arial" w:cs="Arial"/>
                      <w:color w:val="000000"/>
                      <w:sz w:val="48"/>
                      <w:szCs w:val="48"/>
                    </w:rPr>
                  </w:pPr>
                  <w:r>
                    <w:rPr>
                      <w:rFonts w:ascii="Book Antiqua" w:eastAsia="MS PGothic" w:hAnsi="Book Antiqua" w:cs="Book Antiqua"/>
                      <w:b/>
                      <w:bCs/>
                      <w:color w:val="000000"/>
                      <w:sz w:val="18"/>
                      <w:szCs w:val="18"/>
                    </w:rPr>
                    <w:t xml:space="preserve"> </w:t>
                  </w:r>
                </w:p>
              </w:txbxContent>
            </v:textbox>
          </v:rect>
        </w:pict>
      </w:r>
      <w:r>
        <w:rPr>
          <w:lang w:eastAsia="de-DE"/>
        </w:rPr>
        <w:pict>
          <v:rect id="Rectangle 6" o:spid="_x0000_s1063" style="position:absolute;margin-left:-70.9pt;margin-top:286.55pt;width:16.7pt;height:47.1pt;z-index:251661312;visibility:visible;mso-wrap-style:none;v-text-anchor:middle" filled="f" stroked="f">
            <v:textbox style="mso-rotate-with-shape:t;mso-fit-shape-to-text:t">
              <w:txbxContent>
                <w:p w:rsidR="00E56731" w:rsidRDefault="00E56731" w:rsidP="00E56731">
                  <w:pPr>
                    <w:autoSpaceDE w:val="0"/>
                    <w:autoSpaceDN w:val="0"/>
                    <w:adjustRightInd w:val="0"/>
                    <w:jc w:val="center"/>
                    <w:rPr>
                      <w:rFonts w:ascii="Arial" w:eastAsia="MS PGothic" w:hAnsi="Arial" w:cs="Arial"/>
                      <w:color w:val="000000"/>
                      <w:sz w:val="48"/>
                      <w:szCs w:val="48"/>
                    </w:rPr>
                  </w:pPr>
                  <w:r>
                    <w:rPr>
                      <w:rFonts w:ascii="Book Antiqua" w:eastAsia="MS PGothic" w:hAnsi="Book Antiqua" w:cs="Book Antiqua"/>
                      <w:b/>
                      <w:bCs/>
                      <w:color w:val="000000"/>
                      <w:sz w:val="18"/>
                      <w:szCs w:val="18"/>
                    </w:rPr>
                    <w:t xml:space="preserve"> </w:t>
                  </w:r>
                </w:p>
              </w:txbxContent>
            </v:textbox>
          </v:rect>
        </w:pict>
      </w:r>
      <w:r>
        <w:pict>
          <v:group id="_x0000_s1053" editas="canvas" style="width:453.5pt;height:238pt;mso-position-horizontal-relative:char;mso-position-vertical-relative:line" coordorigin="2307,9187" coordsize="11476,6022">
            <o:lock v:ext="edit" aspectratio="t"/>
            <v:shape id="_x0000_s1054" type="#_x0000_t75" style="position:absolute;left:2307;top:9187;width:11476;height:6022" o:preferrelative="f">
              <v:fill o:detectmouseclick="t"/>
              <v:path o:extrusionok="t" o:connecttype="none"/>
              <o:lock v:ext="edit" text="t"/>
            </v:shape>
            <v:shape id="Afbeelding 9" o:spid="_x0000_s1055" type="#_x0000_t75" alt="Final Version Window poster_Fruit and vegetables.jpg" style="position:absolute;left:6373;top:9313;width:4052;height:5896;visibility:visible">
              <v:imagedata r:id="rId43" o:title="Final Version Window poster_Fruit and vegetables" croptop="1602f" cropleft="1911f" cropright="1789f"/>
            </v:shape>
            <v:shape id="Afbeelding 10" o:spid="_x0000_s1056" type="#_x0000_t75" alt="Final Version Window poster_Water and PA.jpg" style="position:absolute;left:2307;top:9187;width:3946;height:5854;visibility:visible">
              <v:imagedata r:id="rId44" o:title="Final Version Window poster_Water and PA" croptop="1516f" cropleft="1911f" cropright="1789f"/>
            </v:shape>
            <v:shape id="Picture 1" o:spid="_x0000_s1057" type="#_x0000_t75" alt="Final Version Window poster_Sleep and TV" style="position:absolute;left:10425;top:9675;width:3358;height:4884;visibility:visible">
              <v:imagedata r:id="rId45" o:title="Final Version Window poster_Sleep and TV" croptop="1451f" cropleft="1920f" cropright="1781f"/>
            </v:shape>
            <w10:wrap type="none"/>
            <w10:anchorlock/>
          </v:group>
        </w:pict>
      </w:r>
    </w:p>
    <w:p w:rsidR="00E56731" w:rsidRPr="005C6C8C" w:rsidRDefault="00E56731" w:rsidP="00E56731">
      <w:pPr>
        <w:jc w:val="center"/>
        <w:rPr>
          <w:b/>
          <w:sz w:val="20"/>
          <w:szCs w:val="20"/>
        </w:rPr>
      </w:pPr>
      <w:r w:rsidRPr="005C6C8C">
        <w:rPr>
          <w:b/>
          <w:sz w:val="20"/>
          <w:szCs w:val="20"/>
        </w:rPr>
        <w:t>Figur</w:t>
      </w:r>
      <w:r w:rsidR="005C6C8C" w:rsidRPr="005C6C8C">
        <w:rPr>
          <w:b/>
          <w:sz w:val="20"/>
          <w:szCs w:val="20"/>
        </w:rPr>
        <w:t>a</w:t>
      </w:r>
      <w:r w:rsidRPr="005C6C8C">
        <w:rPr>
          <w:b/>
          <w:sz w:val="20"/>
          <w:szCs w:val="20"/>
        </w:rPr>
        <w:t xml:space="preserve"> </w:t>
      </w:r>
      <w:r w:rsidR="005C6C8C" w:rsidRPr="005C6C8C">
        <w:rPr>
          <w:b/>
          <w:sz w:val="20"/>
          <w:szCs w:val="20"/>
        </w:rPr>
        <w:t>21</w:t>
      </w:r>
      <w:r w:rsidRPr="005C6C8C">
        <w:rPr>
          <w:b/>
          <w:sz w:val="20"/>
          <w:szCs w:val="20"/>
        </w:rPr>
        <w:t xml:space="preserve">: </w:t>
      </w:r>
      <w:r w:rsidR="005C6C8C" w:rsidRPr="005C6C8C">
        <w:rPr>
          <w:b/>
          <w:sz w:val="20"/>
          <w:szCs w:val="20"/>
        </w:rPr>
        <w:t>Esempi della promozione di tre messaggi-chiave nel corso delle Settimane della Salute</w:t>
      </w:r>
    </w:p>
    <w:p w:rsidR="00E56731" w:rsidRPr="005C6C8C" w:rsidRDefault="00E56731" w:rsidP="00E56731"/>
    <w:p w:rsidR="00E56731" w:rsidRPr="00D84726" w:rsidRDefault="00266000" w:rsidP="00E56731">
      <w:pPr>
        <w:spacing w:after="0"/>
      </w:pPr>
      <w:r>
        <w:pict>
          <v:group id="_x0000_s1058" editas="canvas" style="width:453.5pt;height:315.45pt;mso-position-horizontal-relative:char;mso-position-vertical-relative:line" coordorigin="2307,2788" coordsize="11520,8014">
            <o:lock v:ext="edit" aspectratio="t"/>
            <v:shape id="_x0000_s1059" type="#_x0000_t75" style="position:absolute;left:2307;top:2788;width:11520;height:8014" o:preferrelative="f">
              <v:fill o:detectmouseclick="t"/>
              <v:path o:extrusionok="t" o:connecttype="none"/>
              <o:lock v:ext="edit" text="t"/>
            </v:shape>
            <v:shape id="Picture 5" o:spid="_x0000_s1060" type="#_x0000_t75" alt="Educational folders_final version 2_PA_Page_1.jpg" style="position:absolute;left:2307;top:2820;width:5806;height:7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">
              <v:imagedata r:id="rId46" o:title="Educational folders_final version 2_PA_Page_1" croptop="4608f" cropbottom="4607f" cropleft="4828f" cropright="2764f"/>
              <v:shadow on="t" color="black" opacity="45875f" origin="-.5,-.5" offset="0,0"/>
              <v:path arrowok="t"/>
            </v:shape>
            <v:shape id="Picture 6" o:spid="_x0000_s1061" type="#_x0000_t75" alt="Educational folders_final version 2_PA_Page_2.jpg" style="position:absolute;left:8207;top:2788;width:5620;height:7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">
              <v:imagedata r:id="rId47" o:title="Educational folders_final version 2_PA_Page_2" croptop="4607f" cropbottom="4608f" cropleft="4688f" cropright="4749f"/>
              <v:shadow on="t" color="black" opacity="45875f" origin="-.5,-.5" offset="0,0"/>
              <v:path arrowok="t"/>
            </v:shape>
            <w10:wrap type="none"/>
            <w10:anchorlock/>
          </v:group>
        </w:pict>
      </w:r>
    </w:p>
    <w:p w:rsidR="00E56731" w:rsidRPr="005C6C8C" w:rsidRDefault="00E56731" w:rsidP="00E56731">
      <w:pPr>
        <w:spacing w:before="120"/>
        <w:jc w:val="center"/>
        <w:rPr>
          <w:b/>
          <w:sz w:val="20"/>
          <w:szCs w:val="20"/>
        </w:rPr>
      </w:pPr>
      <w:r w:rsidRPr="005C6C8C">
        <w:rPr>
          <w:b/>
          <w:sz w:val="20"/>
          <w:szCs w:val="20"/>
        </w:rPr>
        <w:t>Figur</w:t>
      </w:r>
      <w:r w:rsidR="005C6C8C" w:rsidRPr="005C6C8C">
        <w:rPr>
          <w:b/>
          <w:sz w:val="20"/>
          <w:szCs w:val="20"/>
        </w:rPr>
        <w:t>a 22</w:t>
      </w:r>
      <w:r w:rsidRPr="005C6C8C">
        <w:rPr>
          <w:b/>
          <w:sz w:val="20"/>
          <w:szCs w:val="20"/>
        </w:rPr>
        <w:t xml:space="preserve">: </w:t>
      </w:r>
      <w:r w:rsidR="005C6C8C" w:rsidRPr="005C6C8C">
        <w:rPr>
          <w:b/>
          <w:sz w:val="20"/>
          <w:szCs w:val="20"/>
        </w:rPr>
        <w:t>Depliant distribuito per la promozione dell’attività fisica</w:t>
      </w:r>
    </w:p>
    <w:p w:rsidR="00E56731" w:rsidRPr="005C6C8C" w:rsidRDefault="00E56731"/>
    <w:p w:rsidR="00E56731" w:rsidRPr="005C6C8C" w:rsidRDefault="00E56731"/>
    <w:p w:rsidR="00E56731" w:rsidRPr="00D84726" w:rsidRDefault="00E56731" w:rsidP="00E56731">
      <w:pPr>
        <w:keepNext/>
        <w:spacing w:after="0"/>
      </w:pPr>
      <w:r>
        <w:rPr>
          <w:noProof/>
          <w:lang w:eastAsia="it-IT"/>
        </w:rPr>
        <w:lastRenderedPageBreak/>
        <w:drawing>
          <wp:inline distT="0" distB="0" distL="0" distR="0">
            <wp:extent cx="1908175" cy="1976755"/>
            <wp:effectExtent l="19050" t="0" r="0" b="0"/>
            <wp:docPr id="41" name="Immagine 41" descr="DSC_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_0225"/>
                    <pic:cNvPicPr>
                      <a:picLocks noChangeAspect="1" noChangeArrowheads="1"/>
                    </pic:cNvPicPr>
                  </pic:nvPicPr>
                  <pic:blipFill>
                    <a:blip r:embed="rId48" cstate="print"/>
                    <a:srcRect t="20316" r="7843" b="15749"/>
                    <a:stretch>
                      <a:fillRect/>
                    </a:stretch>
                  </pic:blipFill>
                  <pic:spPr bwMode="auto">
                    <a:xfrm>
                      <a:off x="0" y="0"/>
                      <a:ext cx="1908175" cy="1976755"/>
                    </a:xfrm>
                    <a:prstGeom prst="rect">
                      <a:avLst/>
                    </a:prstGeom>
                    <a:noFill/>
                  </pic:spPr>
                </pic:pic>
              </a:graphicData>
            </a:graphic>
          </wp:inline>
        </w:drawing>
      </w:r>
      <w:r>
        <w:rPr>
          <w:noProof/>
          <w:color w:val="000000"/>
          <w:kern w:val="1"/>
          <w:lang w:eastAsia="it-IT"/>
        </w:rPr>
        <w:drawing>
          <wp:inline distT="0" distB="0" distL="0" distR="0">
            <wp:extent cx="1901825" cy="1982470"/>
            <wp:effectExtent l="19050" t="0" r="3175" b="0"/>
            <wp:docPr id="93" name="Picture 5" desc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jpg"/>
                    <pic:cNvPicPr>
                      <a:picLocks noChangeAspect="1" noChangeArrowheads="1"/>
                    </pic:cNvPicPr>
                  </pic:nvPicPr>
                  <pic:blipFill>
                    <a:blip r:embed="rId49" cstate="print"/>
                    <a:srcRect l="11365" r="27277" b="5769"/>
                    <a:stretch>
                      <a:fillRect/>
                    </a:stretch>
                  </pic:blipFill>
                  <pic:spPr bwMode="auto">
                    <a:xfrm>
                      <a:off x="0" y="0"/>
                      <a:ext cx="1901825" cy="1982470"/>
                    </a:xfrm>
                    <a:prstGeom prst="rect">
                      <a:avLst/>
                    </a:prstGeom>
                    <a:noFill/>
                    <a:ln w="9525">
                      <a:noFill/>
                      <a:miter lim="800000"/>
                      <a:headEnd/>
                      <a:tailEnd/>
                    </a:ln>
                  </pic:spPr>
                </pic:pic>
              </a:graphicData>
            </a:graphic>
          </wp:inline>
        </w:drawing>
      </w:r>
      <w:r>
        <w:rPr>
          <w:noProof/>
          <w:lang w:eastAsia="it-IT"/>
        </w:rPr>
        <w:drawing>
          <wp:inline distT="0" distB="0" distL="0" distR="0">
            <wp:extent cx="1908175" cy="1975485"/>
            <wp:effectExtent l="19050" t="0" r="0" b="0"/>
            <wp:docPr id="40" name="Immagine 40" descr="DSC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0278"/>
                    <pic:cNvPicPr>
                      <a:picLocks noChangeAspect="1" noChangeArrowheads="1"/>
                    </pic:cNvPicPr>
                  </pic:nvPicPr>
                  <pic:blipFill>
                    <a:blip r:embed="rId50" cstate="print"/>
                    <a:srcRect l="27559"/>
                    <a:stretch>
                      <a:fillRect/>
                    </a:stretch>
                  </pic:blipFill>
                  <pic:spPr bwMode="auto">
                    <a:xfrm>
                      <a:off x="0" y="0"/>
                      <a:ext cx="1908175" cy="1975485"/>
                    </a:xfrm>
                    <a:prstGeom prst="rect">
                      <a:avLst/>
                    </a:prstGeom>
                    <a:noFill/>
                  </pic:spPr>
                </pic:pic>
              </a:graphicData>
            </a:graphic>
          </wp:inline>
        </w:drawing>
      </w:r>
    </w:p>
    <w:p w:rsidR="00E56731" w:rsidRPr="005C6C8C" w:rsidRDefault="00E56731" w:rsidP="00E56731">
      <w:pPr>
        <w:jc w:val="center"/>
        <w:rPr>
          <w:b/>
          <w:sz w:val="20"/>
          <w:szCs w:val="20"/>
        </w:rPr>
      </w:pPr>
      <w:r w:rsidRPr="005C6C8C">
        <w:rPr>
          <w:b/>
          <w:sz w:val="20"/>
          <w:szCs w:val="20"/>
        </w:rPr>
        <w:t>Figur</w:t>
      </w:r>
      <w:r w:rsidR="005C6C8C" w:rsidRPr="005C6C8C">
        <w:rPr>
          <w:b/>
          <w:sz w:val="20"/>
          <w:szCs w:val="20"/>
        </w:rPr>
        <w:t>a</w:t>
      </w:r>
      <w:r w:rsidRPr="005C6C8C">
        <w:rPr>
          <w:b/>
          <w:sz w:val="20"/>
          <w:szCs w:val="20"/>
        </w:rPr>
        <w:t xml:space="preserve"> 2</w:t>
      </w:r>
      <w:r w:rsidR="005C6C8C" w:rsidRPr="005C6C8C">
        <w:rPr>
          <w:b/>
          <w:sz w:val="20"/>
          <w:szCs w:val="20"/>
        </w:rPr>
        <w:t>3</w:t>
      </w:r>
      <w:r w:rsidRPr="005C6C8C">
        <w:rPr>
          <w:b/>
          <w:sz w:val="20"/>
          <w:szCs w:val="20"/>
        </w:rPr>
        <w:t xml:space="preserve">: </w:t>
      </w:r>
      <w:r w:rsidR="005C6C8C" w:rsidRPr="005C6C8C">
        <w:rPr>
          <w:b/>
          <w:sz w:val="20"/>
          <w:szCs w:val="20"/>
        </w:rPr>
        <w:t>Esempi di attività svolte nelle scuole partecipanti al progetto IDEFICS durante le Settimane della Salute</w:t>
      </w:r>
    </w:p>
    <w:p w:rsidR="00E56731" w:rsidRDefault="00E56731"/>
    <w:p w:rsidR="003F4B4A" w:rsidRDefault="003F4B4A" w:rsidP="003F4B4A">
      <w:pPr>
        <w:keepNext/>
        <w:spacing w:after="120"/>
        <w:jc w:val="center"/>
        <w:rPr>
          <w:noProof/>
          <w:lang w:val="de-DE" w:eastAsia="de-DE"/>
        </w:rPr>
      </w:pPr>
      <w:r>
        <w:rPr>
          <w:noProof/>
          <w:lang w:eastAsia="it-IT"/>
        </w:rPr>
        <w:drawing>
          <wp:inline distT="0" distB="0" distL="0" distR="0">
            <wp:extent cx="2677160" cy="1828800"/>
            <wp:effectExtent l="19050" t="0" r="8890" b="0"/>
            <wp:docPr id="10" name="Picture 1" descr=":::::Desktop:Healthywal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Healthywalks.jpeg"/>
                    <pic:cNvPicPr>
                      <a:picLocks noChangeAspect="1" noChangeArrowheads="1"/>
                    </pic:cNvPicPr>
                  </pic:nvPicPr>
                  <pic:blipFill>
                    <a:blip r:embed="rId51" cstate="print"/>
                    <a:srcRect b="10083"/>
                    <a:stretch>
                      <a:fillRect/>
                    </a:stretch>
                  </pic:blipFill>
                  <pic:spPr bwMode="auto">
                    <a:xfrm>
                      <a:off x="0" y="0"/>
                      <a:ext cx="2677160" cy="1828800"/>
                    </a:xfrm>
                    <a:prstGeom prst="rect">
                      <a:avLst/>
                    </a:prstGeom>
                    <a:noFill/>
                    <a:ln w="9525">
                      <a:noFill/>
                      <a:miter lim="800000"/>
                      <a:headEnd/>
                      <a:tailEnd/>
                    </a:ln>
                  </pic:spPr>
                </pic:pic>
              </a:graphicData>
            </a:graphic>
          </wp:inline>
        </w:drawing>
      </w:r>
    </w:p>
    <w:p w:rsidR="003F4B4A" w:rsidRPr="003F4B4A" w:rsidRDefault="003F4B4A" w:rsidP="003F4B4A">
      <w:pPr>
        <w:jc w:val="center"/>
        <w:rPr>
          <w:b/>
          <w:sz w:val="20"/>
          <w:szCs w:val="20"/>
        </w:rPr>
      </w:pPr>
      <w:r w:rsidRPr="003F4B4A">
        <w:rPr>
          <w:b/>
          <w:sz w:val="20"/>
          <w:szCs w:val="20"/>
        </w:rPr>
        <w:t xml:space="preserve">Figura 24: I Percorsi della Salute realizzati </w:t>
      </w:r>
      <w:r w:rsidR="007A1E3C">
        <w:rPr>
          <w:b/>
          <w:sz w:val="20"/>
          <w:szCs w:val="20"/>
        </w:rPr>
        <w:t>con il progetto IDEFICS nel com</w:t>
      </w:r>
      <w:r w:rsidRPr="003F4B4A">
        <w:rPr>
          <w:b/>
          <w:sz w:val="20"/>
          <w:szCs w:val="20"/>
        </w:rPr>
        <w:t>une di Forino</w:t>
      </w:r>
    </w:p>
    <w:p w:rsidR="003F4B4A" w:rsidRPr="003F4B4A" w:rsidRDefault="003F4B4A"/>
    <w:p w:rsidR="00E56731" w:rsidRDefault="00DC5E15">
      <w:pPr>
        <w:rPr>
          <w:b/>
        </w:rPr>
      </w:pPr>
      <w:r w:rsidRPr="00DC5E15">
        <w:rPr>
          <w:b/>
        </w:rPr>
        <w:t>EFFICACIA DELL’INTERVENTO</w:t>
      </w:r>
    </w:p>
    <w:p w:rsidR="00DC5E15" w:rsidRPr="00DC5E15" w:rsidRDefault="003F4B4A" w:rsidP="003F4B4A">
      <w:pPr>
        <w:jc w:val="both"/>
      </w:pPr>
      <w:r>
        <w:t>Al</w:t>
      </w:r>
      <w:r w:rsidR="007A1E3C">
        <w:t xml:space="preserve"> termine dell’intervento è stato osservato che</w:t>
      </w:r>
      <w:r>
        <w:t xml:space="preserve"> l’indice di massa corporeo medio aumentava in misura minore nei bambini che avevano partecipato al programma di intervento “intensivo” rispetto a quelli sottoposti a intervento “standard”. La differenza era statisticamente significativa nelle bambine (Figura 25).</w:t>
      </w:r>
    </w:p>
    <w:p w:rsidR="00E56731" w:rsidRPr="00D84726" w:rsidRDefault="00E56731" w:rsidP="00E56731">
      <w:pPr>
        <w:keepNext/>
        <w:spacing w:before="120" w:after="0"/>
        <w:jc w:val="center"/>
      </w:pPr>
      <w:r>
        <w:rPr>
          <w:noProof/>
          <w:lang w:eastAsia="it-IT"/>
        </w:rPr>
        <w:drawing>
          <wp:inline distT="0" distB="0" distL="0" distR="0">
            <wp:extent cx="2999105" cy="2143125"/>
            <wp:effectExtent l="19050" t="0" r="0" b="0"/>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t="6799" r="6047" b="8319"/>
                    <a:stretch>
                      <a:fillRect/>
                    </a:stretch>
                  </pic:blipFill>
                  <pic:spPr bwMode="auto">
                    <a:xfrm>
                      <a:off x="0" y="0"/>
                      <a:ext cx="2999105" cy="2143125"/>
                    </a:xfrm>
                    <a:prstGeom prst="rect">
                      <a:avLst/>
                    </a:prstGeom>
                    <a:noFill/>
                    <a:ln w="9525">
                      <a:noFill/>
                      <a:miter lim="800000"/>
                      <a:headEnd/>
                      <a:tailEnd/>
                    </a:ln>
                  </pic:spPr>
                </pic:pic>
              </a:graphicData>
            </a:graphic>
          </wp:inline>
        </w:drawing>
      </w:r>
    </w:p>
    <w:p w:rsidR="00E56731" w:rsidRPr="003F4B4A" w:rsidRDefault="00E56731" w:rsidP="00E56731">
      <w:pPr>
        <w:jc w:val="center"/>
        <w:rPr>
          <w:b/>
          <w:sz w:val="20"/>
          <w:szCs w:val="20"/>
        </w:rPr>
      </w:pPr>
      <w:r w:rsidRPr="003F4B4A">
        <w:rPr>
          <w:b/>
          <w:sz w:val="20"/>
          <w:szCs w:val="20"/>
        </w:rPr>
        <w:t>Figure 2</w:t>
      </w:r>
      <w:r w:rsidR="003F4B4A" w:rsidRPr="003F4B4A">
        <w:rPr>
          <w:b/>
          <w:sz w:val="20"/>
          <w:szCs w:val="20"/>
        </w:rPr>
        <w:t>5</w:t>
      </w:r>
      <w:r w:rsidRPr="003F4B4A">
        <w:rPr>
          <w:b/>
          <w:sz w:val="20"/>
          <w:szCs w:val="20"/>
        </w:rPr>
        <w:t xml:space="preserve">: </w:t>
      </w:r>
      <w:r w:rsidR="003F4B4A" w:rsidRPr="003F4B4A">
        <w:rPr>
          <w:b/>
          <w:sz w:val="20"/>
          <w:szCs w:val="20"/>
        </w:rPr>
        <w:t xml:space="preserve">IMC z-score nelle bambine: intervento </w:t>
      </w:r>
      <w:r w:rsidR="003F4B4A">
        <w:rPr>
          <w:b/>
          <w:sz w:val="20"/>
          <w:szCs w:val="20"/>
        </w:rPr>
        <w:t>intensivo</w:t>
      </w:r>
      <w:r w:rsidR="003F4B4A" w:rsidRPr="003F4B4A">
        <w:rPr>
          <w:b/>
          <w:sz w:val="20"/>
          <w:szCs w:val="20"/>
        </w:rPr>
        <w:t xml:space="preserve"> vs.</w:t>
      </w:r>
      <w:r w:rsidR="003F4B4A">
        <w:rPr>
          <w:b/>
          <w:sz w:val="20"/>
          <w:szCs w:val="20"/>
        </w:rPr>
        <w:t xml:space="preserve"> standard</w:t>
      </w:r>
    </w:p>
    <w:p w:rsidR="00E56731" w:rsidRPr="003F4B4A" w:rsidRDefault="00E56731"/>
    <w:p w:rsidR="00E56731" w:rsidRPr="003F4B4A" w:rsidRDefault="003F4B4A" w:rsidP="003F4B4A">
      <w:pPr>
        <w:jc w:val="both"/>
      </w:pPr>
      <w:r>
        <w:lastRenderedPageBreak/>
        <w:t xml:space="preserve">Nonostante la breve durata del follow-up –circa 2 anni-, è stato possibile identificare un effetto favorevole dell’intervento effettuato, anche se limitatamente alle bambine, per un </w:t>
      </w:r>
      <w:proofErr w:type="spellStart"/>
      <w:r w:rsidRPr="007A1E3C">
        <w:rPr>
          <w:i/>
        </w:rPr>
        <w:t>end-point</w:t>
      </w:r>
      <w:proofErr w:type="spellEnd"/>
      <w:r>
        <w:t xml:space="preserve"> primario come l’IMC. L’efficacia dell’intervento è stata variabile nei vari Paesi partecipanti al progetto. La Figura 26 mostra i risultati ottenuti in Estonia, in cui l’intervento intensivo ha determinato una riduzione significativa dell’IMC al termine del follow-up mentre l’intervento standard era associato ad </w:t>
      </w:r>
      <w:proofErr w:type="spellStart"/>
      <w:r>
        <w:t>un’aumento</w:t>
      </w:r>
      <w:proofErr w:type="spellEnd"/>
      <w:r>
        <w:t xml:space="preserve"> dello stesso nel corso del tempo.</w:t>
      </w:r>
    </w:p>
    <w:p w:rsidR="00E56731" w:rsidRPr="00D84726" w:rsidRDefault="00E56731" w:rsidP="00E56731">
      <w:pPr>
        <w:spacing w:after="0"/>
      </w:pPr>
      <w:r>
        <w:rPr>
          <w:noProof/>
          <w:lang w:eastAsia="it-IT"/>
        </w:rPr>
        <w:drawing>
          <wp:inline distT="0" distB="0" distL="0" distR="0">
            <wp:extent cx="2479675" cy="2172335"/>
            <wp:effectExtent l="19050" t="0" r="0" b="0"/>
            <wp:docPr id="113" name="Grafik 32" descr="cid:image001.png@01CD13F8.AE469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cid:image001.png@01CD13F8.AE4691D0"/>
                    <pic:cNvPicPr>
                      <a:picLocks noChangeAspect="1" noChangeArrowheads="1"/>
                    </pic:cNvPicPr>
                  </pic:nvPicPr>
                  <pic:blipFill>
                    <a:blip r:embed="rId53" r:link="rId54" cstate="print"/>
                    <a:srcRect l="2249" t="8052" r="24640" b="10492"/>
                    <a:stretch>
                      <a:fillRect/>
                    </a:stretch>
                  </pic:blipFill>
                  <pic:spPr bwMode="auto">
                    <a:xfrm>
                      <a:off x="0" y="0"/>
                      <a:ext cx="2479675" cy="2172335"/>
                    </a:xfrm>
                    <a:prstGeom prst="rect">
                      <a:avLst/>
                    </a:prstGeom>
                    <a:noFill/>
                    <a:ln w="9525">
                      <a:noFill/>
                      <a:miter lim="800000"/>
                      <a:headEnd/>
                      <a:tailEnd/>
                    </a:ln>
                  </pic:spPr>
                </pic:pic>
              </a:graphicData>
            </a:graphic>
          </wp:inline>
        </w:drawing>
      </w:r>
      <w:r>
        <w:rPr>
          <w:noProof/>
          <w:lang w:eastAsia="it-IT"/>
        </w:rPr>
        <w:drawing>
          <wp:inline distT="0" distB="0" distL="0" distR="0">
            <wp:extent cx="3175000" cy="2202180"/>
            <wp:effectExtent l="19050" t="0" r="6350" b="0"/>
            <wp:docPr id="114" name="Grafik 33" descr="cid:image002.png@01CD13F8.AE469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descr="cid:image002.png@01CD13F8.AE4691D0"/>
                    <pic:cNvPicPr>
                      <a:picLocks noChangeAspect="1" noChangeArrowheads="1"/>
                    </pic:cNvPicPr>
                  </pic:nvPicPr>
                  <pic:blipFill>
                    <a:blip r:embed="rId55" r:link="rId56" cstate="print"/>
                    <a:srcRect l="1492" t="8440" r="6592" b="10492"/>
                    <a:stretch>
                      <a:fillRect/>
                    </a:stretch>
                  </pic:blipFill>
                  <pic:spPr bwMode="auto">
                    <a:xfrm>
                      <a:off x="0" y="0"/>
                      <a:ext cx="3175000" cy="2202180"/>
                    </a:xfrm>
                    <a:prstGeom prst="rect">
                      <a:avLst/>
                    </a:prstGeom>
                    <a:noFill/>
                    <a:ln w="9525">
                      <a:noFill/>
                      <a:miter lim="800000"/>
                      <a:headEnd/>
                      <a:tailEnd/>
                    </a:ln>
                  </pic:spPr>
                </pic:pic>
              </a:graphicData>
            </a:graphic>
          </wp:inline>
        </w:drawing>
      </w:r>
    </w:p>
    <w:p w:rsidR="00E56731" w:rsidRPr="003F4B4A" w:rsidRDefault="00E56731" w:rsidP="003F4B4A">
      <w:pPr>
        <w:jc w:val="center"/>
      </w:pPr>
      <w:r w:rsidRPr="003F4B4A">
        <w:rPr>
          <w:b/>
          <w:sz w:val="20"/>
          <w:szCs w:val="20"/>
        </w:rPr>
        <w:t>Figure 2</w:t>
      </w:r>
      <w:r w:rsidR="003F4B4A" w:rsidRPr="003F4B4A">
        <w:rPr>
          <w:b/>
          <w:sz w:val="20"/>
          <w:szCs w:val="20"/>
        </w:rPr>
        <w:t>6</w:t>
      </w:r>
      <w:r w:rsidRPr="003F4B4A">
        <w:rPr>
          <w:b/>
          <w:sz w:val="20"/>
          <w:szCs w:val="20"/>
        </w:rPr>
        <w:t xml:space="preserve">: </w:t>
      </w:r>
      <w:r w:rsidR="003F4B4A" w:rsidRPr="003F4B4A">
        <w:rPr>
          <w:b/>
          <w:sz w:val="20"/>
          <w:szCs w:val="20"/>
        </w:rPr>
        <w:t xml:space="preserve">IMC z-score </w:t>
      </w:r>
      <w:r w:rsidR="003F4B4A">
        <w:rPr>
          <w:b/>
          <w:sz w:val="20"/>
          <w:szCs w:val="20"/>
        </w:rPr>
        <w:t xml:space="preserve">in bambini (sinistra) e </w:t>
      </w:r>
      <w:r w:rsidR="003F4B4A" w:rsidRPr="003F4B4A">
        <w:rPr>
          <w:b/>
          <w:sz w:val="20"/>
          <w:szCs w:val="20"/>
        </w:rPr>
        <w:t>bambine</w:t>
      </w:r>
      <w:r w:rsidR="003F4B4A">
        <w:rPr>
          <w:b/>
          <w:sz w:val="20"/>
          <w:szCs w:val="20"/>
        </w:rPr>
        <w:t xml:space="preserve"> (destra) partecipanti al progetto IDEFICS</w:t>
      </w:r>
      <w:r w:rsidR="003F4B4A" w:rsidRPr="003F4B4A">
        <w:rPr>
          <w:b/>
          <w:sz w:val="20"/>
          <w:szCs w:val="20"/>
        </w:rPr>
        <w:t xml:space="preserve">: intervento </w:t>
      </w:r>
      <w:r w:rsidR="003F4B4A">
        <w:rPr>
          <w:b/>
          <w:sz w:val="20"/>
          <w:szCs w:val="20"/>
        </w:rPr>
        <w:t>intensivo</w:t>
      </w:r>
      <w:r w:rsidR="003F4B4A" w:rsidRPr="003F4B4A">
        <w:rPr>
          <w:b/>
          <w:sz w:val="20"/>
          <w:szCs w:val="20"/>
        </w:rPr>
        <w:t xml:space="preserve"> vs.</w:t>
      </w:r>
      <w:r w:rsidR="003F4B4A">
        <w:rPr>
          <w:b/>
          <w:sz w:val="20"/>
          <w:szCs w:val="20"/>
        </w:rPr>
        <w:t xml:space="preserve"> standard</w:t>
      </w:r>
    </w:p>
    <w:p w:rsidR="003F4B4A" w:rsidRPr="003F4B4A" w:rsidRDefault="003F4B4A">
      <w:r w:rsidRPr="003F4B4A">
        <w:br w:type="page"/>
      </w:r>
    </w:p>
    <w:p w:rsidR="00E56731" w:rsidRPr="003F4B4A" w:rsidRDefault="00E56731"/>
    <w:p w:rsidR="00E56731" w:rsidRPr="00490766" w:rsidRDefault="00BA36F5" w:rsidP="00490766">
      <w:pPr>
        <w:rPr>
          <w:b/>
          <w:sz w:val="28"/>
          <w:szCs w:val="20"/>
        </w:rPr>
      </w:pPr>
      <w:bookmarkStart w:id="1" w:name="_Toc307403380"/>
      <w:bookmarkStart w:id="2" w:name="_Toc318021247"/>
      <w:bookmarkStart w:id="3" w:name="_Toc318021278"/>
      <w:bookmarkStart w:id="4" w:name="_Toc318451134"/>
      <w:bookmarkStart w:id="5" w:name="_Toc318454701"/>
      <w:bookmarkStart w:id="6" w:name="_Toc318454954"/>
      <w:bookmarkStart w:id="7" w:name="_Toc318456696"/>
      <w:bookmarkStart w:id="8" w:name="_Toc318456749"/>
      <w:bookmarkStart w:id="9" w:name="_Toc318456814"/>
      <w:bookmarkStart w:id="10" w:name="_Toc318456853"/>
      <w:bookmarkStart w:id="11" w:name="_Toc318457227"/>
      <w:bookmarkStart w:id="12" w:name="_Toc318459228"/>
      <w:bookmarkStart w:id="13" w:name="_Toc318459293"/>
      <w:bookmarkStart w:id="14" w:name="_Toc318459333"/>
      <w:bookmarkStart w:id="15" w:name="_Toc318459373"/>
      <w:bookmarkStart w:id="16" w:name="_Toc318460981"/>
      <w:bookmarkStart w:id="17" w:name="_Toc318471871"/>
      <w:bookmarkStart w:id="18" w:name="_Toc318477556"/>
      <w:bookmarkStart w:id="19" w:name="_Toc318895795"/>
      <w:bookmarkStart w:id="20" w:name="_Toc318897638"/>
      <w:bookmarkStart w:id="21" w:name="_Toc321315560"/>
      <w:r w:rsidRPr="00490766">
        <w:rPr>
          <w:b/>
          <w:sz w:val="28"/>
          <w:szCs w:val="20"/>
        </w:rPr>
        <w:t xml:space="preserve">Linee guida </w:t>
      </w:r>
      <w:proofErr w:type="spellStart"/>
      <w:r w:rsidRPr="00936617">
        <w:rPr>
          <w:b/>
          <w:i/>
          <w:sz w:val="28"/>
          <w:szCs w:val="20"/>
        </w:rPr>
        <w:t>evidence</w:t>
      </w:r>
      <w:proofErr w:type="spellEnd"/>
      <w:r w:rsidRPr="00936617">
        <w:rPr>
          <w:b/>
          <w:i/>
          <w:sz w:val="28"/>
          <w:szCs w:val="20"/>
        </w:rPr>
        <w:t xml:space="preserve"> </w:t>
      </w:r>
      <w:proofErr w:type="spellStart"/>
      <w:r w:rsidRPr="00936617">
        <w:rPr>
          <w:b/>
          <w:i/>
          <w:sz w:val="28"/>
          <w:szCs w:val="20"/>
        </w:rPr>
        <w:t>based</w:t>
      </w:r>
      <w:proofErr w:type="spellEnd"/>
    </w:p>
    <w:p w:rsidR="00E56731" w:rsidRPr="00490766" w:rsidRDefault="00E56731" w:rsidP="00490766">
      <w:pPr>
        <w:pStyle w:val="Titolo5"/>
        <w:spacing w:line="288" w:lineRule="auto"/>
        <w:rPr>
          <w:rFonts w:asciiTheme="minorHAnsi" w:hAnsiTheme="minorHAnsi"/>
          <w:lang w:val="it-IT"/>
        </w:rPr>
      </w:pPr>
      <w:bookmarkStart w:id="22" w:name="_Toc321814528"/>
      <w:bookmarkStart w:id="23" w:name="_Toc321905464"/>
      <w:r w:rsidRPr="00490766">
        <w:rPr>
          <w:rFonts w:asciiTheme="minorHAnsi" w:hAnsiTheme="minorHAnsi"/>
          <w:lang w:val="it-IT"/>
        </w:rPr>
        <w:t xml:space="preserve">1. </w:t>
      </w:r>
      <w:bookmarkEnd w:id="22"/>
      <w:bookmarkEnd w:id="23"/>
      <w:r w:rsidR="00BA36F5" w:rsidRPr="00490766">
        <w:rPr>
          <w:rFonts w:asciiTheme="minorHAnsi" w:hAnsiTheme="minorHAnsi"/>
          <w:lang w:val="it-IT"/>
        </w:rPr>
        <w:t>Bevande zuccherate</w:t>
      </w:r>
    </w:p>
    <w:p w:rsidR="00E56731" w:rsidRPr="00AC6B6D" w:rsidRDefault="00BA36F5" w:rsidP="00490766">
      <w:pPr>
        <w:jc w:val="both"/>
      </w:pPr>
      <w:r>
        <w:t>Il consumo di acqua al posto di bevande zuccherate può ridurre l’</w:t>
      </w:r>
      <w:proofErr w:type="spellStart"/>
      <w:r>
        <w:t>intake</w:t>
      </w:r>
      <w:proofErr w:type="spellEnd"/>
      <w:r>
        <w:t xml:space="preserve"> calorico totale. </w:t>
      </w:r>
      <w:r w:rsidR="00AC6B6D" w:rsidRPr="00AC6B6D">
        <w:t xml:space="preserve">I dati trasversali dello studio </w:t>
      </w:r>
      <w:r w:rsidR="00E56731" w:rsidRPr="00AC6B6D">
        <w:t xml:space="preserve">IDEFICS </w:t>
      </w:r>
      <w:r w:rsidR="00AC6B6D" w:rsidRPr="00AC6B6D">
        <w:t xml:space="preserve"> mostrano che il consumo di bevande zuccherate, e in particolare la consuetudine all’aggiunta di zuccher</w:t>
      </w:r>
      <w:r w:rsidR="007A1E3C">
        <w:t>o al latte, è associata ad un a</w:t>
      </w:r>
      <w:r w:rsidR="00AC6B6D" w:rsidRPr="00AC6B6D">
        <w:t xml:space="preserve">umento del rischio di sovrappeso e obesità. </w:t>
      </w:r>
      <w:r w:rsidR="007A1E3C">
        <w:t>I</w:t>
      </w:r>
      <w:r w:rsidR="00AC6B6D">
        <w:t xml:space="preserve"> Paesi in cui è stato osservato il più basso consumo di bevande zuccherate sono anche quelli in cui la prevalenza di sovrappeso e obesità </w:t>
      </w:r>
      <w:r w:rsidR="007A1E3C">
        <w:t>era</w:t>
      </w:r>
      <w:r w:rsidR="00AC6B6D">
        <w:t xml:space="preserve"> più bassa</w:t>
      </w:r>
      <w:r w:rsidR="00E56731" w:rsidRPr="00AC6B6D">
        <w:t xml:space="preserve">. </w:t>
      </w:r>
    </w:p>
    <w:p w:rsidR="00E56731" w:rsidRPr="007A1E3C" w:rsidRDefault="00AC6B6D" w:rsidP="00490766">
      <w:pPr>
        <w:ind w:left="708"/>
        <w:jc w:val="both"/>
        <w:rPr>
          <w:i/>
        </w:rPr>
      </w:pPr>
      <w:r w:rsidRPr="00AC6B6D">
        <w:rPr>
          <w:i/>
        </w:rPr>
        <w:t xml:space="preserve">Sulla base dei risultati del progetto </w:t>
      </w:r>
      <w:r w:rsidR="00E56731" w:rsidRPr="00AC6B6D">
        <w:rPr>
          <w:i/>
        </w:rPr>
        <w:t>ID</w:t>
      </w:r>
      <w:r w:rsidR="00490766">
        <w:rPr>
          <w:i/>
        </w:rPr>
        <w:t>E</w:t>
      </w:r>
      <w:r w:rsidR="00E56731" w:rsidRPr="00AC6B6D">
        <w:rPr>
          <w:i/>
        </w:rPr>
        <w:t>FICS</w:t>
      </w:r>
      <w:r w:rsidRPr="00AC6B6D">
        <w:rPr>
          <w:i/>
        </w:rPr>
        <w:t>, un ridotto consumo di bevande zuccherate, latte zuccherato in particolare, p</w:t>
      </w:r>
      <w:r w:rsidR="00490766">
        <w:rPr>
          <w:i/>
        </w:rPr>
        <w:t>otrà</w:t>
      </w:r>
      <w:r w:rsidRPr="00AC6B6D">
        <w:rPr>
          <w:i/>
        </w:rPr>
        <w:t xml:space="preserve"> ess</w:t>
      </w:r>
      <w:r>
        <w:rPr>
          <w:i/>
        </w:rPr>
        <w:t>ere proposto</w:t>
      </w:r>
      <w:r w:rsidR="00490766">
        <w:rPr>
          <w:i/>
        </w:rPr>
        <w:t xml:space="preserve"> in futuro come raccomandazione o strategia per la prevenzione</w:t>
      </w:r>
      <w:r w:rsidR="007A1E3C">
        <w:rPr>
          <w:i/>
        </w:rPr>
        <w:t xml:space="preserve"> dell’obesità</w:t>
      </w:r>
      <w:r w:rsidR="00490766">
        <w:rPr>
          <w:i/>
        </w:rPr>
        <w:t xml:space="preserve">. </w:t>
      </w:r>
      <w:r w:rsidR="007A1E3C">
        <w:rPr>
          <w:i/>
        </w:rPr>
        <w:t>Il consumo</w:t>
      </w:r>
      <w:r w:rsidR="00490766" w:rsidRPr="00490766">
        <w:rPr>
          <w:i/>
        </w:rPr>
        <w:t xml:space="preserve"> di acqua va incoraggiato quale principale modalità di consum</w:t>
      </w:r>
      <w:r w:rsidR="00490766">
        <w:rPr>
          <w:i/>
        </w:rPr>
        <w:t>o</w:t>
      </w:r>
      <w:r w:rsidR="00490766" w:rsidRPr="00490766">
        <w:rPr>
          <w:i/>
        </w:rPr>
        <w:t xml:space="preserve"> di bevand</w:t>
      </w:r>
      <w:r w:rsidR="00490766">
        <w:rPr>
          <w:i/>
        </w:rPr>
        <w:t>e</w:t>
      </w:r>
      <w:r w:rsidR="00490766" w:rsidRPr="00490766">
        <w:rPr>
          <w:i/>
        </w:rPr>
        <w:t xml:space="preserve">. </w:t>
      </w:r>
    </w:p>
    <w:p w:rsidR="00E56731" w:rsidRPr="00490766" w:rsidRDefault="00E56731" w:rsidP="00490766">
      <w:pPr>
        <w:pStyle w:val="Titolo5"/>
        <w:spacing w:line="288" w:lineRule="auto"/>
        <w:rPr>
          <w:rFonts w:asciiTheme="minorHAnsi" w:hAnsiTheme="minorHAnsi"/>
          <w:lang w:val="it-IT"/>
        </w:rPr>
      </w:pPr>
      <w:bookmarkStart w:id="24" w:name="_Toc321814529"/>
      <w:bookmarkStart w:id="25" w:name="_Toc321905465"/>
      <w:r w:rsidRPr="00490766">
        <w:rPr>
          <w:rFonts w:asciiTheme="minorHAnsi" w:hAnsiTheme="minorHAnsi"/>
          <w:lang w:val="it-IT"/>
        </w:rPr>
        <w:t xml:space="preserve">2. </w:t>
      </w:r>
      <w:r w:rsidR="00490766" w:rsidRPr="00490766">
        <w:rPr>
          <w:rFonts w:asciiTheme="minorHAnsi" w:hAnsiTheme="minorHAnsi"/>
          <w:lang w:val="it-IT"/>
        </w:rPr>
        <w:t>Consumo di frutta e vegetali</w:t>
      </w:r>
      <w:bookmarkEnd w:id="24"/>
      <w:bookmarkEnd w:id="25"/>
    </w:p>
    <w:p w:rsidR="00E56731" w:rsidRPr="007A1E3C" w:rsidRDefault="007A1E3C" w:rsidP="00490766">
      <w:pPr>
        <w:jc w:val="both"/>
      </w:pPr>
      <w:r>
        <w:t>Il consumo</w:t>
      </w:r>
      <w:r w:rsidR="00490766" w:rsidRPr="00490766">
        <w:t xml:space="preserve"> di frutta e verdure è molto basso nei bambini europei. </w:t>
      </w:r>
      <w:r w:rsidR="00490766">
        <w:t>Solo il 16% e il 50% dei bambini raggiungono i</w:t>
      </w:r>
      <w:r w:rsidR="00490766" w:rsidRPr="00490766">
        <w:t>l consumo raccomandato (5 e 3 volte al giorno)</w:t>
      </w:r>
      <w:r w:rsidR="00490766">
        <w:t xml:space="preserve">, anche nei paesi con il più elevato consumo di questi alimenti. All’analisi </w:t>
      </w:r>
      <w:proofErr w:type="spellStart"/>
      <w:r w:rsidR="00490766" w:rsidRPr="007A1E3C">
        <w:rPr>
          <w:i/>
        </w:rPr>
        <w:t>cross-sectional</w:t>
      </w:r>
      <w:proofErr w:type="spellEnd"/>
      <w:r w:rsidR="00490766">
        <w:t xml:space="preserve"> dei dati IDEFICS non è stata identificata alcuna associazione tra sovrappeso/obesità e consumo di frutta e verdure</w:t>
      </w:r>
      <w:r w:rsidR="004B18D6">
        <w:t xml:space="preserve">. L’analisi dei diari alimentari nel campione IDEFICS potrà fornire indicazioni più precise riguardo l’associazione tra sovrappeso e consumo di frutta e verdure e sulle modalità di consumo (frequenza e porzioni) consigliate. </w:t>
      </w:r>
      <w:r w:rsidR="00490766" w:rsidRPr="00490766">
        <w:t xml:space="preserve"> </w:t>
      </w:r>
    </w:p>
    <w:p w:rsidR="004B18D6" w:rsidRPr="004B18D6" w:rsidRDefault="004B18D6" w:rsidP="00490766">
      <w:pPr>
        <w:ind w:left="708"/>
        <w:jc w:val="both"/>
        <w:rPr>
          <w:i/>
        </w:rPr>
      </w:pPr>
      <w:r w:rsidRPr="004B18D6">
        <w:rPr>
          <w:i/>
        </w:rPr>
        <w:t>Sulla base dei dati disponibili dallo studio IDEFICS, si può concludere che è opportuno incoraggiare il consum</w:t>
      </w:r>
      <w:r w:rsidR="00F123D9">
        <w:rPr>
          <w:i/>
        </w:rPr>
        <w:t>o</w:t>
      </w:r>
      <w:r w:rsidRPr="004B18D6">
        <w:rPr>
          <w:i/>
        </w:rPr>
        <w:t xml:space="preserve"> di frutta e verdure nella popolazione pediatrica in quanto lo stesso è abitualmente molto basso nonostante rappresenti un cardine importante per una dieta equilibrat</w:t>
      </w:r>
      <w:r w:rsidR="00F123D9">
        <w:rPr>
          <w:i/>
        </w:rPr>
        <w:t>a</w:t>
      </w:r>
      <w:r w:rsidRPr="004B18D6">
        <w:rPr>
          <w:i/>
        </w:rPr>
        <w:t>.</w:t>
      </w:r>
    </w:p>
    <w:p w:rsidR="00E56731" w:rsidRPr="007A1E3C" w:rsidRDefault="00E56731" w:rsidP="00490766">
      <w:pPr>
        <w:pStyle w:val="Titolo5"/>
        <w:spacing w:line="288" w:lineRule="auto"/>
        <w:rPr>
          <w:rFonts w:asciiTheme="minorHAnsi" w:hAnsiTheme="minorHAnsi"/>
          <w:lang w:val="it-IT"/>
        </w:rPr>
      </w:pPr>
      <w:bookmarkStart w:id="26" w:name="_Toc321814530"/>
      <w:bookmarkStart w:id="27" w:name="_Toc321905466"/>
      <w:r w:rsidRPr="007A1E3C">
        <w:rPr>
          <w:rFonts w:asciiTheme="minorHAnsi" w:hAnsiTheme="minorHAnsi"/>
          <w:lang w:val="it-IT"/>
        </w:rPr>
        <w:t xml:space="preserve">3. </w:t>
      </w:r>
      <w:r w:rsidR="004B18D6" w:rsidRPr="007A1E3C">
        <w:rPr>
          <w:rFonts w:asciiTheme="minorHAnsi" w:hAnsiTheme="minorHAnsi"/>
          <w:lang w:val="it-IT"/>
        </w:rPr>
        <w:t>Attività fisica</w:t>
      </w:r>
      <w:bookmarkEnd w:id="26"/>
      <w:bookmarkEnd w:id="27"/>
    </w:p>
    <w:p w:rsidR="00E56731" w:rsidRPr="007B6A9D" w:rsidRDefault="007B6A9D" w:rsidP="00490766">
      <w:pPr>
        <w:jc w:val="both"/>
      </w:pPr>
      <w:r w:rsidRPr="007A1E3C">
        <w:t xml:space="preserve">I risultati dello studio IDEFICS dimostrano in modo inequivocabile che </w:t>
      </w:r>
      <w:r w:rsidR="00F123D9">
        <w:t>i</w:t>
      </w:r>
      <w:r w:rsidRPr="007A1E3C">
        <w:t xml:space="preserve"> bambini che praticano attività fisica moderata-vigorosa per più di 1 ora al giorno rappresentano, in Europa, una esigua minoranza: in Svezia –il paese in cui I bambini sono più attivi fisicamente- sono meno del 30% nella fascia di età 6-9 anni e meno del 20% nei più piccoli. Nel paese meno “attivo”, l’Italia, le percentuali scendono al 5% e al 10%, rispettivamente. </w:t>
      </w:r>
      <w:r w:rsidRPr="007B6A9D">
        <w:t>Lo studio IDEFICS ha dimostrato una chiara associazione inversa tra attività fisica e adiposità.</w:t>
      </w:r>
    </w:p>
    <w:p w:rsidR="00E56731" w:rsidRPr="007A1E3C" w:rsidRDefault="007B6A9D" w:rsidP="00490766">
      <w:pPr>
        <w:ind w:left="708"/>
        <w:jc w:val="both"/>
        <w:rPr>
          <w:i/>
        </w:rPr>
      </w:pPr>
      <w:r>
        <w:rPr>
          <w:i/>
        </w:rPr>
        <w:t xml:space="preserve">Data la bassa prevalenza in Europa di pratica di attività fisica moderata-vigorosa, e vista l’associazione inversa tra attività fisica e sovrappeso, la promozione di uno stile di vita attivo riveste un ruolo centrale in qualsiasi misura preventiva per la tutela della salute. Lo studio IDEFICS suggerisce che la pratica di attività fisica moderata-vigorosa per più di 1 ora al giorno può essere un obiettivo poco realistico per i bambini nella fascia di età 2-5 anni.  </w:t>
      </w:r>
    </w:p>
    <w:p w:rsidR="00E56731" w:rsidRPr="007A1E3C" w:rsidRDefault="00E56731" w:rsidP="00490766">
      <w:pPr>
        <w:pStyle w:val="Titolo5"/>
        <w:spacing w:line="288" w:lineRule="auto"/>
        <w:rPr>
          <w:rFonts w:asciiTheme="minorHAnsi" w:hAnsiTheme="minorHAnsi"/>
          <w:lang w:val="it-IT"/>
        </w:rPr>
      </w:pPr>
      <w:bookmarkStart w:id="28" w:name="_Toc321814531"/>
      <w:bookmarkStart w:id="29" w:name="_Toc321905467"/>
      <w:r w:rsidRPr="007A1E3C">
        <w:rPr>
          <w:rFonts w:asciiTheme="minorHAnsi" w:hAnsiTheme="minorHAnsi"/>
          <w:lang w:val="it-IT"/>
        </w:rPr>
        <w:t xml:space="preserve">4. </w:t>
      </w:r>
      <w:bookmarkEnd w:id="28"/>
      <w:bookmarkEnd w:id="29"/>
      <w:r w:rsidR="00002F23" w:rsidRPr="007A1E3C">
        <w:rPr>
          <w:rFonts w:asciiTheme="minorHAnsi" w:hAnsiTheme="minorHAnsi"/>
          <w:lang w:val="it-IT"/>
        </w:rPr>
        <w:t>Uso della televisione</w:t>
      </w:r>
    </w:p>
    <w:p w:rsidR="00E56731" w:rsidRPr="007A1E3C" w:rsidRDefault="00002F23" w:rsidP="00490766">
      <w:pPr>
        <w:jc w:val="both"/>
      </w:pPr>
      <w:r w:rsidRPr="00002F23">
        <w:t>Il consumo di televisione/videogiochi/computer, quale indicatore di uno stile di vita sedentario, è ri</w:t>
      </w:r>
      <w:r w:rsidR="00F123D9">
        <w:t>sultato associato</w:t>
      </w:r>
      <w:r w:rsidRPr="00002F23">
        <w:t xml:space="preserve"> significativamente alla prevalenza di sovrappeso e obesità. </w:t>
      </w:r>
      <w:r>
        <w:t xml:space="preserve">L’uso della TV aumenta con l’età del bambino e mostra importanti differenze nei diversi Paesi Europei. </w:t>
      </w:r>
    </w:p>
    <w:p w:rsidR="00E56731" w:rsidRPr="007A1E3C" w:rsidRDefault="00002F23" w:rsidP="00490766">
      <w:pPr>
        <w:ind w:left="708"/>
        <w:jc w:val="both"/>
        <w:rPr>
          <w:i/>
        </w:rPr>
      </w:pPr>
      <w:r w:rsidRPr="00002F23">
        <w:rPr>
          <w:i/>
        </w:rPr>
        <w:lastRenderedPageBreak/>
        <w:t xml:space="preserve">In base ai dati IDEFICS, è </w:t>
      </w:r>
      <w:r w:rsidR="00F123D9">
        <w:rPr>
          <w:i/>
        </w:rPr>
        <w:t>raccomandato l’uso della televis</w:t>
      </w:r>
      <w:r w:rsidRPr="00002F23">
        <w:rPr>
          <w:i/>
        </w:rPr>
        <w:t xml:space="preserve">ione per non più di 1 ora al giorno per </w:t>
      </w:r>
      <w:r w:rsidR="00F123D9">
        <w:rPr>
          <w:i/>
        </w:rPr>
        <w:t>i</w:t>
      </w:r>
      <w:r w:rsidRPr="00002F23">
        <w:rPr>
          <w:i/>
        </w:rPr>
        <w:t xml:space="preserve"> bambini di 2-5 anni e per non più di 2 ore per </w:t>
      </w:r>
      <w:r w:rsidR="00F123D9">
        <w:rPr>
          <w:i/>
        </w:rPr>
        <w:t>i</w:t>
      </w:r>
      <w:r w:rsidRPr="00002F23">
        <w:rPr>
          <w:i/>
        </w:rPr>
        <w:t xml:space="preserve"> bambini più grandi (6-9 anni). </w:t>
      </w:r>
    </w:p>
    <w:p w:rsidR="00E56731" w:rsidRPr="00002F23" w:rsidRDefault="00E56731" w:rsidP="00490766">
      <w:pPr>
        <w:pStyle w:val="Titolo5"/>
        <w:spacing w:line="288" w:lineRule="auto"/>
        <w:rPr>
          <w:rFonts w:asciiTheme="minorHAnsi" w:hAnsiTheme="minorHAnsi"/>
          <w:lang w:val="it-IT"/>
        </w:rPr>
      </w:pPr>
      <w:bookmarkStart w:id="30" w:name="_Toc321814532"/>
      <w:bookmarkStart w:id="31" w:name="_Toc321905468"/>
      <w:r w:rsidRPr="00002F23">
        <w:rPr>
          <w:rFonts w:asciiTheme="minorHAnsi" w:hAnsiTheme="minorHAnsi"/>
          <w:lang w:val="it-IT"/>
        </w:rPr>
        <w:t xml:space="preserve">5. </w:t>
      </w:r>
      <w:bookmarkEnd w:id="30"/>
      <w:bookmarkEnd w:id="31"/>
      <w:r w:rsidR="00002F23" w:rsidRPr="00002F23">
        <w:rPr>
          <w:rFonts w:asciiTheme="minorHAnsi" w:hAnsiTheme="minorHAnsi"/>
          <w:lang w:val="it-IT"/>
        </w:rPr>
        <w:t>Benessere individuale</w:t>
      </w:r>
    </w:p>
    <w:p w:rsidR="00E56731" w:rsidRPr="007A1E3C" w:rsidRDefault="00002F23" w:rsidP="00490766">
      <w:pPr>
        <w:jc w:val="both"/>
      </w:pPr>
      <w:r w:rsidRPr="00002F23">
        <w:t xml:space="preserve">Una buona qualità di vita è associata ad un ridotto livello di stress e ad una migliore capacità di gestione dello stesso. </w:t>
      </w:r>
      <w:r>
        <w:t xml:space="preserve">Lo studio IDEFICS propone pertanto l’introduzione di un indice di benessere quale </w:t>
      </w:r>
      <w:r w:rsidR="00F123D9">
        <w:t xml:space="preserve">ulteriore </w:t>
      </w:r>
      <w:r>
        <w:t xml:space="preserve">elemento </w:t>
      </w:r>
      <w:r w:rsidR="00F123D9">
        <w:t>per la</w:t>
      </w:r>
      <w:r>
        <w:t xml:space="preserve"> valutazione della salute del bambini. </w:t>
      </w:r>
      <w:r w:rsidRPr="00002F23">
        <w:t xml:space="preserve">Tale indice è risultato più elevato nei bambini dei </w:t>
      </w:r>
      <w:r w:rsidR="00F123D9">
        <w:t>P</w:t>
      </w:r>
      <w:r w:rsidRPr="00002F23">
        <w:t xml:space="preserve">aesi con la prevalenza più bassa di sovrappeso e obesità (Estonia, Belgio e Svezia) e più basso </w:t>
      </w:r>
      <w:r w:rsidR="00F123D9">
        <w:t>in quelli</w:t>
      </w:r>
      <w:r w:rsidRPr="00002F23">
        <w:t xml:space="preserve"> in c</w:t>
      </w:r>
      <w:r w:rsidR="00F123D9">
        <w:t>ui tale prevalenza è più elevata</w:t>
      </w:r>
      <w:r w:rsidRPr="00002F23">
        <w:t xml:space="preserve"> (Italia, Cipro, Spagna)</w:t>
      </w:r>
      <w:r>
        <w:t xml:space="preserve">. </w:t>
      </w:r>
    </w:p>
    <w:p w:rsidR="00E56731" w:rsidRPr="007A1E3C" w:rsidRDefault="004E6F04" w:rsidP="00490766">
      <w:pPr>
        <w:ind w:left="708"/>
        <w:jc w:val="both"/>
        <w:rPr>
          <w:i/>
        </w:rPr>
      </w:pPr>
      <w:r w:rsidRPr="007A1E3C">
        <w:rPr>
          <w:i/>
        </w:rPr>
        <w:t xml:space="preserve">Sebbene i risultati preliminari dello studio IDEFICS incoraggino a considerare il benessere individuale come un fattore protettivo per lo sviluppo di obesità, l’ipotesi va confermata mediante ulteriori studi disegnati appositamente per questo scopo. </w:t>
      </w:r>
    </w:p>
    <w:p w:rsidR="00E56731" w:rsidRPr="004E6F04" w:rsidRDefault="00E56731" w:rsidP="00490766">
      <w:pPr>
        <w:pStyle w:val="Titolo5"/>
        <w:spacing w:line="288" w:lineRule="auto"/>
        <w:rPr>
          <w:rFonts w:asciiTheme="minorHAnsi" w:hAnsiTheme="minorHAnsi"/>
          <w:lang w:val="it-IT"/>
        </w:rPr>
      </w:pPr>
      <w:bookmarkStart w:id="32" w:name="_Toc321814533"/>
      <w:bookmarkStart w:id="33" w:name="_Toc321905469"/>
      <w:r w:rsidRPr="004E6F04">
        <w:rPr>
          <w:rFonts w:asciiTheme="minorHAnsi" w:hAnsiTheme="minorHAnsi"/>
          <w:lang w:val="it-IT"/>
        </w:rPr>
        <w:t>6. S</w:t>
      </w:r>
      <w:r w:rsidR="004E6F04">
        <w:rPr>
          <w:rFonts w:asciiTheme="minorHAnsi" w:hAnsiTheme="minorHAnsi"/>
          <w:lang w:val="it-IT"/>
        </w:rPr>
        <w:t xml:space="preserve">onno </w:t>
      </w:r>
      <w:bookmarkEnd w:id="32"/>
      <w:bookmarkEnd w:id="33"/>
    </w:p>
    <w:p w:rsidR="00E56731" w:rsidRPr="007A1E3C" w:rsidRDefault="004E6F04" w:rsidP="00490766">
      <w:pPr>
        <w:jc w:val="both"/>
      </w:pPr>
      <w:r w:rsidRPr="004E6F04">
        <w:t>Un’adeguata durata del sonno notturno è associat</w:t>
      </w:r>
      <w:r w:rsidR="00F123D9">
        <w:t>a</w:t>
      </w:r>
      <w:r w:rsidRPr="004E6F04">
        <w:t xml:space="preserve"> ad una ridotta prevalenza di sovrappe</w:t>
      </w:r>
      <w:r>
        <w:t xml:space="preserve">so ed obesità, soprattutto nei bambini di età compresa tra i 6 e i 9 anni. Lo studio IDEFICS ha dimostrato che esistono differenze significative per la durata del sonno nei diversi </w:t>
      </w:r>
      <w:r w:rsidR="00F123D9">
        <w:t>P</w:t>
      </w:r>
      <w:r>
        <w:t xml:space="preserve">aesi europei, minore nel Sud Europa </w:t>
      </w:r>
      <w:r w:rsidRPr="004E6F04">
        <w:t xml:space="preserve"> </w:t>
      </w:r>
      <w:r>
        <w:t xml:space="preserve">rispetto ai </w:t>
      </w:r>
      <w:r w:rsidR="00F123D9">
        <w:t>P</w:t>
      </w:r>
      <w:r>
        <w:t xml:space="preserve">aesi del Nord. </w:t>
      </w:r>
    </w:p>
    <w:p w:rsidR="00E56731" w:rsidRDefault="004E6F04" w:rsidP="00490766">
      <w:pPr>
        <w:ind w:left="708"/>
        <w:jc w:val="both"/>
        <w:rPr>
          <w:i/>
        </w:rPr>
      </w:pPr>
      <w:r w:rsidRPr="004E6F04">
        <w:rPr>
          <w:i/>
        </w:rPr>
        <w:t xml:space="preserve">Sulla base dei dati raccolti durante lo studio IDEFICS, si considera come adeguata una durata del sonno notturno di 11 ore nella fascia di età 2-5 anni e di 10 ore nei bambini più grandi. </w:t>
      </w:r>
    </w:p>
    <w:p w:rsidR="0023166F" w:rsidRPr="007A1E3C" w:rsidRDefault="0023166F" w:rsidP="00490766">
      <w:pPr>
        <w:ind w:left="708"/>
        <w:jc w:val="both"/>
        <w:rPr>
          <w:i/>
        </w:rPr>
      </w:pPr>
    </w:p>
    <w:p w:rsidR="00E56731" w:rsidRPr="0023166F" w:rsidRDefault="0023166F" w:rsidP="0023166F">
      <w:pPr>
        <w:pStyle w:val="Titolo5"/>
        <w:spacing w:line="288" w:lineRule="auto"/>
        <w:jc w:val="center"/>
        <w:rPr>
          <w:rFonts w:asciiTheme="minorHAnsi" w:hAnsiTheme="minorHAnsi"/>
          <w:i w:val="0"/>
          <w:lang w:val="it-IT"/>
        </w:rPr>
      </w:pPr>
      <w:bookmarkStart w:id="34" w:name="_Toc321814534"/>
      <w:bookmarkStart w:id="35" w:name="_Toc321905470"/>
      <w:r w:rsidRPr="0023166F">
        <w:rPr>
          <w:rFonts w:asciiTheme="minorHAnsi" w:hAnsiTheme="minorHAnsi"/>
          <w:i w:val="0"/>
          <w:lang w:val="it-IT"/>
        </w:rPr>
        <w:t xml:space="preserve">L’intervento attraverso </w:t>
      </w:r>
      <w:bookmarkEnd w:id="34"/>
      <w:bookmarkEnd w:id="35"/>
      <w:r>
        <w:rPr>
          <w:rFonts w:asciiTheme="minorHAnsi" w:hAnsiTheme="minorHAnsi"/>
          <w:i w:val="0"/>
          <w:lang w:val="it-IT"/>
        </w:rPr>
        <w:t xml:space="preserve">i </w:t>
      </w:r>
      <w:r w:rsidRPr="0023166F">
        <w:rPr>
          <w:rFonts w:asciiTheme="minorHAnsi" w:hAnsiTheme="minorHAnsi"/>
          <w:i w:val="0"/>
          <w:lang w:val="it-IT"/>
        </w:rPr>
        <w:t xml:space="preserve">messaggi-chiave dello studio </w:t>
      </w:r>
      <w:r>
        <w:rPr>
          <w:rFonts w:asciiTheme="minorHAnsi" w:hAnsiTheme="minorHAnsi"/>
          <w:i w:val="0"/>
          <w:lang w:val="it-IT"/>
        </w:rPr>
        <w:t>IDEFICS</w:t>
      </w:r>
    </w:p>
    <w:p w:rsidR="00E56731" w:rsidRPr="007A1E3C" w:rsidRDefault="0023166F" w:rsidP="00490766">
      <w:pPr>
        <w:jc w:val="both"/>
      </w:pPr>
      <w:r w:rsidRPr="0023166F">
        <w:t>La proposta di intervento preventivo dello studio IDEFICS basata sull’uso dei messaggi-chiave  ha evidenziato una estrema variabilità di aderenza n</w:t>
      </w:r>
      <w:r w:rsidR="00F123D9">
        <w:t>e</w:t>
      </w:r>
      <w:r w:rsidRPr="0023166F">
        <w:t>i diversi Paesi europei e nelle diverse fasce di età</w:t>
      </w:r>
      <w:r>
        <w:t xml:space="preserve">. </w:t>
      </w:r>
      <w:r w:rsidRPr="0023166F">
        <w:t xml:space="preserve">Tuttavia, una buona </w:t>
      </w:r>
      <w:proofErr w:type="spellStart"/>
      <w:r w:rsidRPr="0023166F">
        <w:rPr>
          <w:i/>
        </w:rPr>
        <w:t>compliance</w:t>
      </w:r>
      <w:proofErr w:type="spellEnd"/>
      <w:r w:rsidRPr="0023166F">
        <w:t xml:space="preserve"> ai sei messaggi proposti è risultat</w:t>
      </w:r>
      <w:r w:rsidR="00F123D9">
        <w:t>a associata</w:t>
      </w:r>
      <w:r w:rsidRPr="0023166F">
        <w:t xml:space="preserve"> ad una ridotta prevalenza di sovrappeso e obesità.</w:t>
      </w:r>
      <w:r>
        <w:t xml:space="preserve"> </w:t>
      </w:r>
    </w:p>
    <w:p w:rsidR="00E56731" w:rsidRPr="0023166F" w:rsidRDefault="00F123D9" w:rsidP="00490766">
      <w:pPr>
        <w:ind w:left="708"/>
        <w:jc w:val="both"/>
        <w:rPr>
          <w:i/>
        </w:rPr>
      </w:pPr>
      <w:r>
        <w:rPr>
          <w:i/>
        </w:rPr>
        <w:t>I</w:t>
      </w:r>
      <w:r w:rsidR="0023166F" w:rsidRPr="0023166F">
        <w:rPr>
          <w:i/>
        </w:rPr>
        <w:t xml:space="preserve"> dati IDEFICS dimostrano che un programma di intervento per la prevenzione dell’obesità infantile è tanto più efficace quanto più </w:t>
      </w:r>
      <w:r w:rsidR="0023166F">
        <w:rPr>
          <w:i/>
        </w:rPr>
        <w:t>i</w:t>
      </w:r>
      <w:r w:rsidR="0023166F" w:rsidRPr="0023166F">
        <w:rPr>
          <w:i/>
        </w:rPr>
        <w:t xml:space="preserve"> suoi contenuti vengano condivisi </w:t>
      </w:r>
      <w:r w:rsidR="0023166F">
        <w:rPr>
          <w:i/>
        </w:rPr>
        <w:t xml:space="preserve">e seguiti. </w:t>
      </w:r>
      <w:r w:rsidRPr="0023166F">
        <w:rPr>
          <w:i/>
        </w:rPr>
        <w:t xml:space="preserve">Per quanto </w:t>
      </w:r>
      <w:r>
        <w:rPr>
          <w:i/>
        </w:rPr>
        <w:t>tale informazione possa apparire scontata</w:t>
      </w:r>
      <w:r w:rsidRPr="0023166F">
        <w:rPr>
          <w:i/>
        </w:rPr>
        <w:t>,</w:t>
      </w:r>
      <w:r>
        <w:rPr>
          <w:i/>
        </w:rPr>
        <w:t xml:space="preserve"> essa rappresenta uno dei principali capisaldi nella definizione di un intervento per la prevenzione dell’obesità infantile. </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rsidR="00930CE0" w:rsidRPr="0023166F" w:rsidRDefault="00930CE0" w:rsidP="00490766">
      <w:pPr>
        <w:jc w:val="both"/>
      </w:pPr>
    </w:p>
    <w:p w:rsidR="00930CE0" w:rsidRPr="00E56731" w:rsidRDefault="00930CE0" w:rsidP="00E56731">
      <w:pPr>
        <w:rPr>
          <w:lang w:val="en-US"/>
        </w:rPr>
      </w:pPr>
      <w:r>
        <w:rPr>
          <w:rFonts w:cs="DejaVu Sans"/>
          <w:noProof/>
          <w:kern w:val="1"/>
          <w:lang w:eastAsia="it-IT"/>
        </w:rPr>
        <w:lastRenderedPageBreak/>
        <w:drawing>
          <wp:inline distT="0" distB="0" distL="0" distR="0">
            <wp:extent cx="5347335" cy="8778240"/>
            <wp:effectExtent l="0" t="0" r="0" b="0"/>
            <wp:docPr id="144" name="Picture 1" descr="2_Layout_Charter_IA_20110630_Part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_Layout_Charter_IA_20110630_Part1.pdf"/>
                    <pic:cNvPicPr>
                      <a:picLocks noChangeAspect="1" noChangeArrowheads="1"/>
                    </pic:cNvPicPr>
                  </pic:nvPicPr>
                  <pic:blipFill>
                    <a:blip r:embed="rId57" cstate="print"/>
                    <a:srcRect l="10008" t="3705" r="10480" b="5048"/>
                    <a:stretch>
                      <a:fillRect/>
                    </a:stretch>
                  </pic:blipFill>
                  <pic:spPr bwMode="auto">
                    <a:xfrm>
                      <a:off x="0" y="0"/>
                      <a:ext cx="5347335" cy="877824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5347335" cy="8617585"/>
            <wp:effectExtent l="0" t="0" r="0" b="0"/>
            <wp:docPr id="147" name="Picture 2" descr="2_Layout_Charter_IA_20110630_Part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Layout_Charter_IA_20110630_Part2.pdf"/>
                    <pic:cNvPicPr>
                      <a:picLocks noChangeAspect="1" noChangeArrowheads="1"/>
                    </pic:cNvPicPr>
                  </pic:nvPicPr>
                  <pic:blipFill>
                    <a:blip r:embed="rId58" cstate="print"/>
                    <a:srcRect l="10008" t="4376" r="10480" b="5048"/>
                    <a:stretch>
                      <a:fillRect/>
                    </a:stretch>
                  </pic:blipFill>
                  <pic:spPr bwMode="auto">
                    <a:xfrm>
                      <a:off x="0" y="0"/>
                      <a:ext cx="5347335" cy="8617585"/>
                    </a:xfrm>
                    <a:prstGeom prst="rect">
                      <a:avLst/>
                    </a:prstGeom>
                    <a:noFill/>
                    <a:ln w="9525">
                      <a:noFill/>
                      <a:miter lim="800000"/>
                      <a:headEnd/>
                      <a:tailEnd/>
                    </a:ln>
                  </pic:spPr>
                </pic:pic>
              </a:graphicData>
            </a:graphic>
          </wp:inline>
        </w:drawing>
      </w:r>
    </w:p>
    <w:p w:rsidR="00E56731" w:rsidRPr="00E56731" w:rsidRDefault="00E56731">
      <w:pPr>
        <w:rPr>
          <w:lang w:val="en-US"/>
        </w:rPr>
      </w:pPr>
    </w:p>
    <w:sectPr w:rsidR="00E56731" w:rsidRPr="00E56731" w:rsidSect="00AF7459">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3AD" w:rsidRDefault="00EE33AD" w:rsidP="00E56731">
      <w:pPr>
        <w:spacing w:after="0" w:line="240" w:lineRule="auto"/>
      </w:pPr>
      <w:r>
        <w:separator/>
      </w:r>
    </w:p>
  </w:endnote>
  <w:endnote w:type="continuationSeparator" w:id="0">
    <w:p w:rsidR="00EE33AD" w:rsidRDefault="00EE33AD" w:rsidP="00E567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PGothic">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DejaVu Sans">
    <w:altName w:val="Times New Roman"/>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3AD" w:rsidRDefault="00EE33AD" w:rsidP="00E56731">
      <w:pPr>
        <w:spacing w:after="0" w:line="240" w:lineRule="auto"/>
      </w:pPr>
      <w:r>
        <w:separator/>
      </w:r>
    </w:p>
  </w:footnote>
  <w:footnote w:type="continuationSeparator" w:id="0">
    <w:p w:rsidR="00EE33AD" w:rsidRDefault="00EE33AD" w:rsidP="00E567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03AB3"/>
    <w:multiLevelType w:val="hybridMultilevel"/>
    <w:tmpl w:val="E7240D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C4201D6"/>
    <w:multiLevelType w:val="hybridMultilevel"/>
    <w:tmpl w:val="1F3EE3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7E1410A"/>
    <w:multiLevelType w:val="hybridMultilevel"/>
    <w:tmpl w:val="A5DEA5AC"/>
    <w:lvl w:ilvl="0" w:tplc="AD646196">
      <w:start w:val="1"/>
      <w:numFmt w:val="bullet"/>
      <w:lvlText w:val=""/>
      <w:lvlJc w:val="left"/>
      <w:pPr>
        <w:tabs>
          <w:tab w:val="num" w:pos="720"/>
        </w:tabs>
        <w:ind w:left="72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64FD16FA"/>
    <w:multiLevelType w:val="hybridMultilevel"/>
    <w:tmpl w:val="54A82B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footnotePr>
    <w:footnote w:id="-1"/>
    <w:footnote w:id="0"/>
  </w:footnotePr>
  <w:endnotePr>
    <w:endnote w:id="-1"/>
    <w:endnote w:id="0"/>
  </w:endnotePr>
  <w:compat/>
  <w:rsids>
    <w:rsidRoot w:val="00D55949"/>
    <w:rsid w:val="00002F23"/>
    <w:rsid w:val="00014905"/>
    <w:rsid w:val="00076A73"/>
    <w:rsid w:val="000D7D72"/>
    <w:rsid w:val="000E3960"/>
    <w:rsid w:val="00101AB2"/>
    <w:rsid w:val="00120E16"/>
    <w:rsid w:val="001350FD"/>
    <w:rsid w:val="0023166F"/>
    <w:rsid w:val="00236A58"/>
    <w:rsid w:val="0024052B"/>
    <w:rsid w:val="00266000"/>
    <w:rsid w:val="00341D31"/>
    <w:rsid w:val="003624F1"/>
    <w:rsid w:val="0037396B"/>
    <w:rsid w:val="003C5779"/>
    <w:rsid w:val="003D7A34"/>
    <w:rsid w:val="003F4B4A"/>
    <w:rsid w:val="00480642"/>
    <w:rsid w:val="00490766"/>
    <w:rsid w:val="004B18D6"/>
    <w:rsid w:val="004C0D2D"/>
    <w:rsid w:val="004E6F04"/>
    <w:rsid w:val="00500544"/>
    <w:rsid w:val="00545A86"/>
    <w:rsid w:val="005C6C8C"/>
    <w:rsid w:val="00676768"/>
    <w:rsid w:val="007443CA"/>
    <w:rsid w:val="007A1E3C"/>
    <w:rsid w:val="007B6A9D"/>
    <w:rsid w:val="007E0FF0"/>
    <w:rsid w:val="007F3A4E"/>
    <w:rsid w:val="00876F04"/>
    <w:rsid w:val="0091378E"/>
    <w:rsid w:val="00930CE0"/>
    <w:rsid w:val="00936617"/>
    <w:rsid w:val="00A149E5"/>
    <w:rsid w:val="00A271CB"/>
    <w:rsid w:val="00A85010"/>
    <w:rsid w:val="00AC68A4"/>
    <w:rsid w:val="00AC6B6D"/>
    <w:rsid w:val="00AF7459"/>
    <w:rsid w:val="00B00419"/>
    <w:rsid w:val="00B16E86"/>
    <w:rsid w:val="00B238EF"/>
    <w:rsid w:val="00B65B6A"/>
    <w:rsid w:val="00BA0B77"/>
    <w:rsid w:val="00BA36F5"/>
    <w:rsid w:val="00BB705E"/>
    <w:rsid w:val="00BE06B0"/>
    <w:rsid w:val="00C03948"/>
    <w:rsid w:val="00C8639F"/>
    <w:rsid w:val="00CE1D2B"/>
    <w:rsid w:val="00CE4260"/>
    <w:rsid w:val="00D1599D"/>
    <w:rsid w:val="00D55949"/>
    <w:rsid w:val="00D604F8"/>
    <w:rsid w:val="00D83E99"/>
    <w:rsid w:val="00DC5E15"/>
    <w:rsid w:val="00DE35FA"/>
    <w:rsid w:val="00E377A3"/>
    <w:rsid w:val="00E56731"/>
    <w:rsid w:val="00E973BA"/>
    <w:rsid w:val="00EE33AD"/>
    <w:rsid w:val="00EE3D32"/>
    <w:rsid w:val="00F00840"/>
    <w:rsid w:val="00F123D9"/>
    <w:rsid w:val="00F8752F"/>
    <w:rsid w:val="00FE57A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 type="connector" idref="#Straight Connector 7"/>
        <o:r id="V:Rule2" type="connector" idref="#Straight Connector 11"/>
        <o:r id="V:Rule3" type="connector" idref="#Straight Connector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F7459"/>
  </w:style>
  <w:style w:type="paragraph" w:styleId="Titolo1">
    <w:name w:val="heading 1"/>
    <w:basedOn w:val="Normale"/>
    <w:next w:val="Normale"/>
    <w:link w:val="Titolo1Carattere"/>
    <w:uiPriority w:val="9"/>
    <w:qFormat/>
    <w:rsid w:val="00BE06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BE06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5">
    <w:name w:val="heading 5"/>
    <w:basedOn w:val="Normale"/>
    <w:next w:val="Normale"/>
    <w:link w:val="Titolo5Carattere"/>
    <w:qFormat/>
    <w:rsid w:val="00E56731"/>
    <w:pPr>
      <w:tabs>
        <w:tab w:val="left" w:pos="709"/>
      </w:tabs>
      <w:spacing w:before="240" w:after="0" w:line="240" w:lineRule="auto"/>
      <w:jc w:val="both"/>
      <w:outlineLvl w:val="4"/>
    </w:pPr>
    <w:rPr>
      <w:rFonts w:ascii="Times New Roman" w:eastAsia="Times New Roman" w:hAnsi="Times New Roman" w:cs="Times New Roman"/>
      <w:b/>
      <w:bCs/>
      <w:i/>
      <w:iCs/>
      <w:sz w:val="24"/>
      <w:szCs w:val="26"/>
      <w:lang w:val="en-GB"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14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14905"/>
    <w:rPr>
      <w:rFonts w:ascii="Tahoma" w:hAnsi="Tahoma" w:cs="Tahoma"/>
      <w:sz w:val="16"/>
      <w:szCs w:val="16"/>
    </w:rPr>
  </w:style>
  <w:style w:type="paragraph" w:styleId="Didascalia">
    <w:name w:val="caption"/>
    <w:basedOn w:val="Normale"/>
    <w:next w:val="Normale"/>
    <w:qFormat/>
    <w:rsid w:val="00014905"/>
    <w:pPr>
      <w:spacing w:before="100" w:beforeAutospacing="1" w:after="100" w:afterAutospacing="1" w:line="288" w:lineRule="auto"/>
      <w:jc w:val="center"/>
    </w:pPr>
    <w:rPr>
      <w:rFonts w:ascii="Times New Roman" w:eastAsia="Times New Roman" w:hAnsi="Times New Roman" w:cs="Times New Roman"/>
      <w:b/>
      <w:bCs/>
      <w:sz w:val="20"/>
      <w:szCs w:val="20"/>
      <w:lang w:val="nl-NL" w:eastAsia="nl-NL"/>
    </w:rPr>
  </w:style>
  <w:style w:type="paragraph" w:customStyle="1" w:styleId="Paragrafoelenco1">
    <w:name w:val="Paragrafo elenco1"/>
    <w:basedOn w:val="Normale"/>
    <w:rsid w:val="00E56731"/>
    <w:pPr>
      <w:spacing w:before="100" w:beforeAutospacing="1" w:after="100" w:afterAutospacing="1" w:line="300" w:lineRule="auto"/>
      <w:ind w:left="720"/>
      <w:jc w:val="both"/>
    </w:pPr>
    <w:rPr>
      <w:rFonts w:ascii="Times New Roman" w:eastAsia="Times New Roman" w:hAnsi="Times New Roman" w:cs="Times New Roman"/>
      <w:sz w:val="24"/>
      <w:szCs w:val="24"/>
      <w:lang w:val="en-US" w:eastAsia="hu-HU"/>
    </w:rPr>
  </w:style>
  <w:style w:type="character" w:styleId="Collegamentoipertestuale">
    <w:name w:val="Hyperlink"/>
    <w:rsid w:val="00E56731"/>
    <w:rPr>
      <w:color w:val="0000FF"/>
      <w:u w:val="single"/>
    </w:rPr>
  </w:style>
  <w:style w:type="paragraph" w:styleId="Testonotaapidipagina">
    <w:name w:val="footnote text"/>
    <w:basedOn w:val="Normale"/>
    <w:link w:val="TestonotaapidipaginaCarattere"/>
    <w:semiHidden/>
    <w:rsid w:val="00E56731"/>
    <w:pPr>
      <w:spacing w:after="0" w:line="240" w:lineRule="auto"/>
    </w:pPr>
    <w:rPr>
      <w:rFonts w:ascii="Times New Roman" w:eastAsia="Times New Roman" w:hAnsi="Times New Roman" w:cs="Times New Roman"/>
      <w:sz w:val="20"/>
      <w:szCs w:val="20"/>
      <w:lang w:val="en-GB" w:eastAsia="en-GB"/>
    </w:rPr>
  </w:style>
  <w:style w:type="character" w:customStyle="1" w:styleId="TestonotaapidipaginaCarattere">
    <w:name w:val="Testo nota a piè di pagina Carattere"/>
    <w:basedOn w:val="Carpredefinitoparagrafo"/>
    <w:link w:val="Testonotaapidipagina"/>
    <w:semiHidden/>
    <w:rsid w:val="00E56731"/>
    <w:rPr>
      <w:rFonts w:ascii="Times New Roman" w:eastAsia="Times New Roman" w:hAnsi="Times New Roman" w:cs="Times New Roman"/>
      <w:sz w:val="20"/>
      <w:szCs w:val="20"/>
      <w:lang w:val="en-GB" w:eastAsia="en-GB"/>
    </w:rPr>
  </w:style>
  <w:style w:type="character" w:styleId="Rimandonotaapidipagina">
    <w:name w:val="footnote reference"/>
    <w:semiHidden/>
    <w:rsid w:val="00E56731"/>
    <w:rPr>
      <w:vertAlign w:val="superscript"/>
    </w:rPr>
  </w:style>
  <w:style w:type="character" w:customStyle="1" w:styleId="Titolo5Carattere">
    <w:name w:val="Titolo 5 Carattere"/>
    <w:basedOn w:val="Carpredefinitoparagrafo"/>
    <w:link w:val="Titolo5"/>
    <w:rsid w:val="00E56731"/>
    <w:rPr>
      <w:rFonts w:ascii="Times New Roman" w:eastAsia="Times New Roman" w:hAnsi="Times New Roman" w:cs="Times New Roman"/>
      <w:b/>
      <w:bCs/>
      <w:i/>
      <w:iCs/>
      <w:sz w:val="24"/>
      <w:szCs w:val="26"/>
      <w:lang w:val="en-GB" w:eastAsia="it-IT"/>
    </w:rPr>
  </w:style>
  <w:style w:type="character" w:customStyle="1" w:styleId="Titolo1Carattere">
    <w:name w:val="Titolo 1 Carattere"/>
    <w:basedOn w:val="Carpredefinitoparagrafo"/>
    <w:link w:val="Titolo1"/>
    <w:uiPriority w:val="9"/>
    <w:rsid w:val="00BE06B0"/>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semiHidden/>
    <w:rsid w:val="00BE06B0"/>
    <w:rPr>
      <w:rFonts w:asciiTheme="majorHAnsi" w:eastAsiaTheme="majorEastAsia" w:hAnsiTheme="majorHAnsi" w:cstheme="majorBidi"/>
      <w:b/>
      <w:bCs/>
      <w:color w:val="4F81BD" w:themeColor="accent1"/>
      <w:sz w:val="26"/>
      <w:szCs w:val="26"/>
    </w:rPr>
  </w:style>
  <w:style w:type="paragraph" w:styleId="Corpodeltesto">
    <w:name w:val="Body Text"/>
    <w:basedOn w:val="Normale"/>
    <w:link w:val="CorpodeltestoCarattere"/>
    <w:rsid w:val="00BE06B0"/>
    <w:pPr>
      <w:spacing w:after="0" w:line="240" w:lineRule="auto"/>
      <w:jc w:val="center"/>
    </w:pPr>
    <w:rPr>
      <w:rFonts w:ascii="Times New Roman" w:eastAsia="Times New Roman" w:hAnsi="Times New Roman" w:cs="Times New Roman"/>
      <w:sz w:val="24"/>
      <w:szCs w:val="16"/>
      <w:lang w:eastAsia="it-IT"/>
    </w:rPr>
  </w:style>
  <w:style w:type="character" w:customStyle="1" w:styleId="CorpodeltestoCarattere">
    <w:name w:val="Corpo del testo Carattere"/>
    <w:basedOn w:val="Carpredefinitoparagrafo"/>
    <w:link w:val="Corpodeltesto"/>
    <w:rsid w:val="00BE06B0"/>
    <w:rPr>
      <w:rFonts w:ascii="Times New Roman" w:eastAsia="Times New Roman" w:hAnsi="Times New Roman" w:cs="Times New Roman"/>
      <w:sz w:val="24"/>
      <w:szCs w:val="16"/>
      <w:lang w:eastAsia="it-IT"/>
    </w:rPr>
  </w:style>
  <w:style w:type="paragraph" w:styleId="Paragrafoelenco">
    <w:name w:val="List Paragraph"/>
    <w:basedOn w:val="Normale"/>
    <w:uiPriority w:val="34"/>
    <w:qFormat/>
    <w:rsid w:val="00EE3D32"/>
    <w:pPr>
      <w:ind w:left="720"/>
      <w:contextualSpacing/>
    </w:pPr>
  </w:style>
  <w:style w:type="table" w:styleId="Grigliatabella">
    <w:name w:val="Table Grid"/>
    <w:basedOn w:val="Tabellanormale"/>
    <w:uiPriority w:val="59"/>
    <w:rsid w:val="00B65B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26.jpeg"/><Relationship Id="rId21" Type="http://schemas.openxmlformats.org/officeDocument/2006/relationships/image" Target="media/image15.jpeg"/><Relationship Id="rId34" Type="http://schemas.openxmlformats.org/officeDocument/2006/relationships/image" Target="media/image23.emf"/><Relationship Id="rId42" Type="http://schemas.openxmlformats.org/officeDocument/2006/relationships/image" Target="media/image29.emf"/><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oleObject" Target="embeddings/oleObject2.bin"/><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hart" Target="charts/chart3.xml"/><Relationship Id="rId41" Type="http://schemas.openxmlformats.org/officeDocument/2006/relationships/image" Target="media/image28.emf"/><Relationship Id="rId54" Type="http://schemas.openxmlformats.org/officeDocument/2006/relationships/image" Target="cid:image001.png@01CD13F8.AE4691D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oleObject" Target="embeddings/oleObject1.bin"/><Relationship Id="rId37" Type="http://schemas.openxmlformats.org/officeDocument/2006/relationships/chart" Target="charts/chart5.xml"/><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chart" Target="charts/chart2.xml"/><Relationship Id="rId36" Type="http://schemas.openxmlformats.org/officeDocument/2006/relationships/chart" Target="charts/chart4.xml"/><Relationship Id="rId49" Type="http://schemas.openxmlformats.org/officeDocument/2006/relationships/image" Target="media/image36.jpeg"/><Relationship Id="rId57"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2.emf"/><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jpeg"/><Relationship Id="rId27" Type="http://schemas.openxmlformats.org/officeDocument/2006/relationships/chart" Target="charts/chart1.xml"/><Relationship Id="rId30" Type="http://schemas.openxmlformats.org/officeDocument/2006/relationships/image" Target="media/image21.emf"/><Relationship Id="rId35" Type="http://schemas.openxmlformats.org/officeDocument/2006/relationships/image" Target="media/image24.emf"/><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cid:image002.png@01CD13F8.AE4691D0" TargetMode="External"/><Relationship Id="rId8" Type="http://schemas.openxmlformats.org/officeDocument/2006/relationships/image" Target="media/image2.jpeg"/><Relationship Id="rId51" Type="http://schemas.openxmlformats.org/officeDocument/2006/relationships/image" Target="media/image38.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lavoro_di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glio_di_lavoro_di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oglio_di_lavoro_di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oglio_di_lavoro_di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40596330275229381"/>
          <c:y val="9.3457943925234141E-2"/>
          <c:w val="0.55733944954128445"/>
          <c:h val="0.80841121495327162"/>
        </c:manualLayout>
      </c:layout>
      <c:barChart>
        <c:barDir val="bar"/>
        <c:grouping val="percentStacked"/>
        <c:ser>
          <c:idx val="0"/>
          <c:order val="0"/>
          <c:tx>
            <c:strRef>
              <c:f>Sheet1!$A$2</c:f>
              <c:strCache>
                <c:ptCount val="1"/>
                <c:pt idx="0">
                  <c:v>Thin</c:v>
                </c:pt>
              </c:strCache>
            </c:strRef>
          </c:tx>
          <c:spPr>
            <a:solidFill>
              <a:srgbClr val="3366FF"/>
            </a:solidFill>
            <a:ln w="25412">
              <a:noFill/>
            </a:ln>
          </c:spPr>
          <c:cat>
            <c:strRef>
              <c:f>Sheet1!$B$1:$H$1</c:f>
              <c:strCache>
                <c:ptCount val="7"/>
                <c:pt idx="0">
                  <c:v>Low  income (N=853)</c:v>
                </c:pt>
                <c:pt idx="1">
                  <c:v>Average income (N=1513)</c:v>
                </c:pt>
                <c:pt idx="2">
                  <c:v>High income (N=921)</c:v>
                </c:pt>
                <c:pt idx="4">
                  <c:v>Low income (N=801)</c:v>
                </c:pt>
                <c:pt idx="5">
                  <c:v>Average income (N=1431)</c:v>
                </c:pt>
                <c:pt idx="6">
                  <c:v>High income (N=792)</c:v>
                </c:pt>
              </c:strCache>
            </c:strRef>
          </c:cat>
          <c:val>
            <c:numRef>
              <c:f>Sheet1!$B$2:$H$2</c:f>
              <c:numCache>
                <c:formatCode>General</c:formatCode>
                <c:ptCount val="7"/>
                <c:pt idx="0">
                  <c:v>11.8</c:v>
                </c:pt>
                <c:pt idx="1">
                  <c:v>15.9</c:v>
                </c:pt>
                <c:pt idx="2">
                  <c:v>13.4</c:v>
                </c:pt>
                <c:pt idx="3">
                  <c:v>0</c:v>
                </c:pt>
                <c:pt idx="4">
                  <c:v>9.4</c:v>
                </c:pt>
                <c:pt idx="5">
                  <c:v>13</c:v>
                </c:pt>
                <c:pt idx="6">
                  <c:v>12.1</c:v>
                </c:pt>
              </c:numCache>
            </c:numRef>
          </c:val>
        </c:ser>
        <c:ser>
          <c:idx val="1"/>
          <c:order val="1"/>
          <c:tx>
            <c:strRef>
              <c:f>Sheet1!$A$3</c:f>
              <c:strCache>
                <c:ptCount val="1"/>
                <c:pt idx="0">
                  <c:v>Normal weight</c:v>
                </c:pt>
              </c:strCache>
            </c:strRef>
          </c:tx>
          <c:spPr>
            <a:solidFill>
              <a:srgbClr val="99CC00"/>
            </a:solidFill>
            <a:ln w="25412">
              <a:noFill/>
            </a:ln>
          </c:spPr>
          <c:cat>
            <c:strRef>
              <c:f>Sheet1!$B$1:$H$1</c:f>
              <c:strCache>
                <c:ptCount val="7"/>
                <c:pt idx="0">
                  <c:v>Low  income (N=853)</c:v>
                </c:pt>
                <c:pt idx="1">
                  <c:v>Average income (N=1513)</c:v>
                </c:pt>
                <c:pt idx="2">
                  <c:v>High income (N=921)</c:v>
                </c:pt>
                <c:pt idx="4">
                  <c:v>Low income (N=801)</c:v>
                </c:pt>
                <c:pt idx="5">
                  <c:v>Average income (N=1431)</c:v>
                </c:pt>
                <c:pt idx="6">
                  <c:v>High income (N=792)</c:v>
                </c:pt>
              </c:strCache>
            </c:strRef>
          </c:cat>
          <c:val>
            <c:numRef>
              <c:f>Sheet1!$B$3:$H$3</c:f>
              <c:numCache>
                <c:formatCode>General</c:formatCode>
                <c:ptCount val="7"/>
                <c:pt idx="0">
                  <c:v>71</c:v>
                </c:pt>
                <c:pt idx="1">
                  <c:v>72.900000000000006</c:v>
                </c:pt>
                <c:pt idx="2">
                  <c:v>79.5</c:v>
                </c:pt>
                <c:pt idx="4">
                  <c:v>67.400000000000006</c:v>
                </c:pt>
                <c:pt idx="5">
                  <c:v>72.599999999999994</c:v>
                </c:pt>
                <c:pt idx="6">
                  <c:v>78.2</c:v>
                </c:pt>
              </c:numCache>
            </c:numRef>
          </c:val>
        </c:ser>
        <c:ser>
          <c:idx val="2"/>
          <c:order val="2"/>
          <c:tx>
            <c:strRef>
              <c:f>Sheet1!$A$4</c:f>
              <c:strCache>
                <c:ptCount val="1"/>
                <c:pt idx="0">
                  <c:v>Overweight</c:v>
                </c:pt>
              </c:strCache>
            </c:strRef>
          </c:tx>
          <c:spPr>
            <a:solidFill>
              <a:srgbClr val="FF9900"/>
            </a:solidFill>
            <a:ln w="25412">
              <a:noFill/>
            </a:ln>
          </c:spPr>
          <c:cat>
            <c:strRef>
              <c:f>Sheet1!$B$1:$H$1</c:f>
              <c:strCache>
                <c:ptCount val="7"/>
                <c:pt idx="0">
                  <c:v>Low  income (N=853)</c:v>
                </c:pt>
                <c:pt idx="1">
                  <c:v>Average income (N=1513)</c:v>
                </c:pt>
                <c:pt idx="2">
                  <c:v>High income (N=921)</c:v>
                </c:pt>
                <c:pt idx="4">
                  <c:v>Low income (N=801)</c:v>
                </c:pt>
                <c:pt idx="5">
                  <c:v>Average income (N=1431)</c:v>
                </c:pt>
                <c:pt idx="6">
                  <c:v>High income (N=792)</c:v>
                </c:pt>
              </c:strCache>
            </c:strRef>
          </c:cat>
          <c:val>
            <c:numRef>
              <c:f>Sheet1!$B$4:$H$4</c:f>
              <c:numCache>
                <c:formatCode>General</c:formatCode>
                <c:ptCount val="7"/>
                <c:pt idx="0">
                  <c:v>10.7</c:v>
                </c:pt>
                <c:pt idx="1">
                  <c:v>7.6</c:v>
                </c:pt>
                <c:pt idx="2">
                  <c:v>5.2</c:v>
                </c:pt>
                <c:pt idx="4">
                  <c:v>14.4</c:v>
                </c:pt>
                <c:pt idx="5">
                  <c:v>10.8</c:v>
                </c:pt>
                <c:pt idx="6">
                  <c:v>7.6</c:v>
                </c:pt>
              </c:numCache>
            </c:numRef>
          </c:val>
        </c:ser>
        <c:ser>
          <c:idx val="3"/>
          <c:order val="3"/>
          <c:tx>
            <c:strRef>
              <c:f>Sheet1!$A$5</c:f>
              <c:strCache>
                <c:ptCount val="1"/>
                <c:pt idx="0">
                  <c:v>Obese</c:v>
                </c:pt>
              </c:strCache>
            </c:strRef>
          </c:tx>
          <c:spPr>
            <a:solidFill>
              <a:srgbClr val="FF0000"/>
            </a:solidFill>
            <a:ln w="25412">
              <a:noFill/>
            </a:ln>
          </c:spPr>
          <c:cat>
            <c:strRef>
              <c:f>Sheet1!$B$1:$H$1</c:f>
              <c:strCache>
                <c:ptCount val="7"/>
                <c:pt idx="0">
                  <c:v>Low  income (N=853)</c:v>
                </c:pt>
                <c:pt idx="1">
                  <c:v>Average income (N=1513)</c:v>
                </c:pt>
                <c:pt idx="2">
                  <c:v>High income (N=921)</c:v>
                </c:pt>
                <c:pt idx="4">
                  <c:v>Low income (N=801)</c:v>
                </c:pt>
                <c:pt idx="5">
                  <c:v>Average income (N=1431)</c:v>
                </c:pt>
                <c:pt idx="6">
                  <c:v>High income (N=792)</c:v>
                </c:pt>
              </c:strCache>
            </c:strRef>
          </c:cat>
          <c:val>
            <c:numRef>
              <c:f>Sheet1!$B$5:$H$5</c:f>
              <c:numCache>
                <c:formatCode>General</c:formatCode>
                <c:ptCount val="7"/>
                <c:pt idx="0">
                  <c:v>6.4</c:v>
                </c:pt>
                <c:pt idx="1">
                  <c:v>3.6</c:v>
                </c:pt>
                <c:pt idx="2">
                  <c:v>2</c:v>
                </c:pt>
                <c:pt idx="4">
                  <c:v>8.9</c:v>
                </c:pt>
                <c:pt idx="5">
                  <c:v>3.6</c:v>
                </c:pt>
                <c:pt idx="6">
                  <c:v>2.1</c:v>
                </c:pt>
              </c:numCache>
            </c:numRef>
          </c:val>
        </c:ser>
        <c:overlap val="100"/>
        <c:axId val="69333760"/>
        <c:axId val="69335680"/>
      </c:barChart>
      <c:catAx>
        <c:axId val="69333760"/>
        <c:scaling>
          <c:orientation val="minMax"/>
        </c:scaling>
        <c:axPos val="l"/>
        <c:title>
          <c:tx>
            <c:rich>
              <a:bodyPr/>
              <a:lstStyle/>
              <a:p>
                <a:pPr>
                  <a:defRPr sz="1000" b="1" i="0" u="none" strike="noStrike" baseline="0">
                    <a:solidFill>
                      <a:srgbClr val="000000"/>
                    </a:solidFill>
                    <a:latin typeface="Arial"/>
                    <a:ea typeface="Arial"/>
                    <a:cs typeface="Arial"/>
                  </a:defRPr>
                </a:pPr>
                <a:r>
                  <a:rPr lang="it-IT"/>
                  <a:t>Boys           Girls</a:t>
                </a:r>
              </a:p>
            </c:rich>
          </c:tx>
          <c:layout>
            <c:manualLayout>
              <c:xMode val="edge"/>
              <c:yMode val="edge"/>
              <c:x val="3.6697247706422201E-2"/>
              <c:y val="0.24299065420560748"/>
            </c:manualLayout>
          </c:layout>
          <c:spPr>
            <a:noFill/>
            <a:ln w="25412">
              <a:noFill/>
            </a:ln>
          </c:spPr>
        </c:title>
        <c:numFmt formatCode="General" sourceLinked="1"/>
        <c:tickLblPos val="nextTo"/>
        <c:spPr>
          <a:ln w="3177">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it-IT"/>
          </a:p>
        </c:txPr>
        <c:crossAx val="69335680"/>
        <c:crosses val="autoZero"/>
        <c:auto val="1"/>
        <c:lblAlgn val="ctr"/>
        <c:lblOffset val="100"/>
        <c:tickLblSkip val="1"/>
        <c:tickMarkSkip val="1"/>
      </c:catAx>
      <c:valAx>
        <c:axId val="69335680"/>
        <c:scaling>
          <c:orientation val="minMax"/>
        </c:scaling>
        <c:axPos val="b"/>
        <c:majorGridlines>
          <c:spPr>
            <a:ln w="3177">
              <a:solidFill>
                <a:srgbClr val="000000"/>
              </a:solidFill>
              <a:prstDash val="solid"/>
            </a:ln>
          </c:spPr>
        </c:majorGridlines>
        <c:numFmt formatCode="0%" sourceLinked="1"/>
        <c:tickLblPos val="nextTo"/>
        <c:spPr>
          <a:ln w="3177">
            <a:solidFill>
              <a:srgbClr val="000000"/>
            </a:solidFill>
            <a:prstDash val="solid"/>
          </a:ln>
        </c:spPr>
        <c:txPr>
          <a:bodyPr rot="0" vert="horz"/>
          <a:lstStyle/>
          <a:p>
            <a:pPr>
              <a:defRPr sz="725" b="0" i="0" u="none" strike="noStrike" baseline="0">
                <a:solidFill>
                  <a:srgbClr val="000000"/>
                </a:solidFill>
                <a:latin typeface="Arial"/>
                <a:ea typeface="Arial"/>
                <a:cs typeface="Arial"/>
              </a:defRPr>
            </a:pPr>
            <a:endParaRPr lang="it-IT"/>
          </a:p>
        </c:txPr>
        <c:crossAx val="69333760"/>
        <c:crosses val="autoZero"/>
        <c:crossBetween val="between"/>
        <c:majorUnit val="0.2"/>
      </c:valAx>
      <c:spPr>
        <a:noFill/>
        <a:ln w="25412">
          <a:noFill/>
        </a:ln>
      </c:spPr>
    </c:plotArea>
    <c:legend>
      <c:legendPos val="r"/>
      <c:layout>
        <c:manualLayout>
          <c:xMode val="edge"/>
          <c:yMode val="edge"/>
          <c:x val="0.34403669724770741"/>
          <c:y val="0"/>
          <c:w val="0.55275229357798161"/>
          <c:h val="9.3457943925234141E-2"/>
        </c:manualLayout>
      </c:layout>
      <c:spPr>
        <a:noFill/>
        <a:ln w="25412">
          <a:noFill/>
        </a:ln>
      </c:spPr>
      <c:txPr>
        <a:bodyPr/>
        <a:lstStyle/>
        <a:p>
          <a:pPr>
            <a:defRPr sz="735" b="0" i="0" u="none" strike="noStrike" baseline="0">
              <a:solidFill>
                <a:srgbClr val="000000"/>
              </a:solidFill>
              <a:latin typeface="Arial"/>
              <a:ea typeface="Arial"/>
              <a:cs typeface="Arial"/>
            </a:defRPr>
          </a:pPr>
          <a:endParaRPr lang="it-IT"/>
        </a:p>
      </c:txPr>
    </c:legend>
    <c:plotVisOnly val="1"/>
    <c:dispBlanksAs val="gap"/>
  </c:chart>
  <c:spPr>
    <a:noFill/>
    <a:ln>
      <a:noFill/>
    </a:ln>
  </c:spPr>
  <c:txPr>
    <a:bodyPr/>
    <a:lstStyle/>
    <a:p>
      <a:pPr>
        <a:defRPr sz="925" b="1" i="0" u="none" strike="noStrike" baseline="0">
          <a:solidFill>
            <a:srgbClr val="000000"/>
          </a:solidFill>
          <a:latin typeface="Arial"/>
          <a:ea typeface="Arial"/>
          <a:cs typeface="Arial"/>
        </a:defRPr>
      </a:pPr>
      <a:endParaRPr lang="it-IT"/>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4313253012048216"/>
          <c:y val="7.6233183856502323E-2"/>
          <c:w val="0.53012048192770933"/>
          <c:h val="0.82959641255605465"/>
        </c:manualLayout>
      </c:layout>
      <c:barChart>
        <c:barDir val="bar"/>
        <c:grouping val="percentStacked"/>
        <c:ser>
          <c:idx val="0"/>
          <c:order val="0"/>
          <c:tx>
            <c:strRef>
              <c:f>Sheet1!$A$2</c:f>
              <c:strCache>
                <c:ptCount val="1"/>
                <c:pt idx="0">
                  <c:v>Thin</c:v>
                </c:pt>
              </c:strCache>
            </c:strRef>
          </c:tx>
          <c:spPr>
            <a:solidFill>
              <a:srgbClr val="3366FF"/>
            </a:solidFill>
            <a:ln w="25384">
              <a:noFill/>
            </a:ln>
          </c:spPr>
          <c:cat>
            <c:strRef>
              <c:f>Sheet1!$B$1:$H$1</c:f>
              <c:strCache>
                <c:ptCount val="7"/>
                <c:pt idx="0">
                  <c:v>Low  income (N=1140)</c:v>
                </c:pt>
                <c:pt idx="1">
                  <c:v>Average income (N=1670)</c:v>
                </c:pt>
                <c:pt idx="2">
                  <c:v>High income (N=937)</c:v>
                </c:pt>
                <c:pt idx="4">
                  <c:v>Low income (N=1077)</c:v>
                </c:pt>
                <c:pt idx="5">
                  <c:v>Average income (N=1682)</c:v>
                </c:pt>
                <c:pt idx="6">
                  <c:v>High income (N=1016)</c:v>
                </c:pt>
              </c:strCache>
            </c:strRef>
          </c:cat>
          <c:val>
            <c:numRef>
              <c:f>Sheet1!$B$2:$H$2</c:f>
              <c:numCache>
                <c:formatCode>General</c:formatCode>
                <c:ptCount val="7"/>
                <c:pt idx="0">
                  <c:v>6.2</c:v>
                </c:pt>
                <c:pt idx="1">
                  <c:v>9.2000000000000011</c:v>
                </c:pt>
                <c:pt idx="2">
                  <c:v>12.1</c:v>
                </c:pt>
                <c:pt idx="3">
                  <c:v>0</c:v>
                </c:pt>
                <c:pt idx="4">
                  <c:v>7.1</c:v>
                </c:pt>
                <c:pt idx="5">
                  <c:v>11</c:v>
                </c:pt>
                <c:pt idx="6">
                  <c:v>9</c:v>
                </c:pt>
              </c:numCache>
            </c:numRef>
          </c:val>
        </c:ser>
        <c:ser>
          <c:idx val="1"/>
          <c:order val="1"/>
          <c:tx>
            <c:strRef>
              <c:f>Sheet1!$A$3</c:f>
              <c:strCache>
                <c:ptCount val="1"/>
                <c:pt idx="0">
                  <c:v>Normal weight</c:v>
                </c:pt>
              </c:strCache>
            </c:strRef>
          </c:tx>
          <c:spPr>
            <a:solidFill>
              <a:srgbClr val="99CC00"/>
            </a:solidFill>
            <a:ln w="25384">
              <a:noFill/>
            </a:ln>
          </c:spPr>
          <c:cat>
            <c:strRef>
              <c:f>Sheet1!$B$1:$H$1</c:f>
              <c:strCache>
                <c:ptCount val="7"/>
                <c:pt idx="0">
                  <c:v>Low  income (N=1140)</c:v>
                </c:pt>
                <c:pt idx="1">
                  <c:v>Average income (N=1670)</c:v>
                </c:pt>
                <c:pt idx="2">
                  <c:v>High income (N=937)</c:v>
                </c:pt>
                <c:pt idx="4">
                  <c:v>Low income (N=1077)</c:v>
                </c:pt>
                <c:pt idx="5">
                  <c:v>Average income (N=1682)</c:v>
                </c:pt>
                <c:pt idx="6">
                  <c:v>High income (N=1016)</c:v>
                </c:pt>
              </c:strCache>
            </c:strRef>
          </c:cat>
          <c:val>
            <c:numRef>
              <c:f>Sheet1!$B$3:$H$3</c:f>
              <c:numCache>
                <c:formatCode>General</c:formatCode>
                <c:ptCount val="7"/>
                <c:pt idx="0">
                  <c:v>60.6</c:v>
                </c:pt>
                <c:pt idx="1">
                  <c:v>70.2</c:v>
                </c:pt>
                <c:pt idx="2">
                  <c:v>74.400000000000006</c:v>
                </c:pt>
                <c:pt idx="4">
                  <c:v>58.4</c:v>
                </c:pt>
                <c:pt idx="5">
                  <c:v>65.7</c:v>
                </c:pt>
                <c:pt idx="6">
                  <c:v>74.099999999999994</c:v>
                </c:pt>
              </c:numCache>
            </c:numRef>
          </c:val>
        </c:ser>
        <c:ser>
          <c:idx val="2"/>
          <c:order val="2"/>
          <c:tx>
            <c:strRef>
              <c:f>Sheet1!$A$4</c:f>
              <c:strCache>
                <c:ptCount val="1"/>
                <c:pt idx="0">
                  <c:v>Overweight</c:v>
                </c:pt>
              </c:strCache>
            </c:strRef>
          </c:tx>
          <c:spPr>
            <a:solidFill>
              <a:srgbClr val="FF9900"/>
            </a:solidFill>
            <a:ln w="25384">
              <a:noFill/>
            </a:ln>
          </c:spPr>
          <c:cat>
            <c:strRef>
              <c:f>Sheet1!$B$1:$H$1</c:f>
              <c:strCache>
                <c:ptCount val="7"/>
                <c:pt idx="0">
                  <c:v>Low  income (N=1140)</c:v>
                </c:pt>
                <c:pt idx="1">
                  <c:v>Average income (N=1670)</c:v>
                </c:pt>
                <c:pt idx="2">
                  <c:v>High income (N=937)</c:v>
                </c:pt>
                <c:pt idx="4">
                  <c:v>Low income (N=1077)</c:v>
                </c:pt>
                <c:pt idx="5">
                  <c:v>Average income (N=1682)</c:v>
                </c:pt>
                <c:pt idx="6">
                  <c:v>High income (N=1016)</c:v>
                </c:pt>
              </c:strCache>
            </c:strRef>
          </c:cat>
          <c:val>
            <c:numRef>
              <c:f>Sheet1!$B$4:$H$4</c:f>
              <c:numCache>
                <c:formatCode>General</c:formatCode>
                <c:ptCount val="7"/>
                <c:pt idx="0">
                  <c:v>16.8</c:v>
                </c:pt>
                <c:pt idx="1">
                  <c:v>13.4</c:v>
                </c:pt>
                <c:pt idx="2">
                  <c:v>9.3000000000000007</c:v>
                </c:pt>
                <c:pt idx="4">
                  <c:v>19.600000000000001</c:v>
                </c:pt>
                <c:pt idx="5">
                  <c:v>15.4</c:v>
                </c:pt>
                <c:pt idx="6">
                  <c:v>13.3</c:v>
                </c:pt>
              </c:numCache>
            </c:numRef>
          </c:val>
        </c:ser>
        <c:ser>
          <c:idx val="3"/>
          <c:order val="3"/>
          <c:tx>
            <c:strRef>
              <c:f>Sheet1!$A$5</c:f>
              <c:strCache>
                <c:ptCount val="1"/>
                <c:pt idx="0">
                  <c:v>Obese</c:v>
                </c:pt>
              </c:strCache>
            </c:strRef>
          </c:tx>
          <c:spPr>
            <a:solidFill>
              <a:srgbClr val="FF0000"/>
            </a:solidFill>
            <a:ln w="25384">
              <a:noFill/>
            </a:ln>
          </c:spPr>
          <c:cat>
            <c:strRef>
              <c:f>Sheet1!$B$1:$H$1</c:f>
              <c:strCache>
                <c:ptCount val="7"/>
                <c:pt idx="0">
                  <c:v>Low  income (N=1140)</c:v>
                </c:pt>
                <c:pt idx="1">
                  <c:v>Average income (N=1670)</c:v>
                </c:pt>
                <c:pt idx="2">
                  <c:v>High income (N=937)</c:v>
                </c:pt>
                <c:pt idx="4">
                  <c:v>Low income (N=1077)</c:v>
                </c:pt>
                <c:pt idx="5">
                  <c:v>Average income (N=1682)</c:v>
                </c:pt>
                <c:pt idx="6">
                  <c:v>High income (N=1016)</c:v>
                </c:pt>
              </c:strCache>
            </c:strRef>
          </c:cat>
          <c:val>
            <c:numRef>
              <c:f>Sheet1!$B$5:$H$5</c:f>
              <c:numCache>
                <c:formatCode>General</c:formatCode>
                <c:ptCount val="7"/>
                <c:pt idx="0">
                  <c:v>16.3</c:v>
                </c:pt>
                <c:pt idx="1">
                  <c:v>7.2</c:v>
                </c:pt>
                <c:pt idx="2">
                  <c:v>4.3</c:v>
                </c:pt>
                <c:pt idx="4">
                  <c:v>14.9</c:v>
                </c:pt>
                <c:pt idx="5">
                  <c:v>7.9</c:v>
                </c:pt>
                <c:pt idx="6">
                  <c:v>3.6</c:v>
                </c:pt>
              </c:numCache>
            </c:numRef>
          </c:val>
        </c:ser>
        <c:overlap val="100"/>
        <c:axId val="77294208"/>
        <c:axId val="91155456"/>
      </c:barChart>
      <c:catAx>
        <c:axId val="77294208"/>
        <c:scaling>
          <c:orientation val="minMax"/>
        </c:scaling>
        <c:axPos val="l"/>
        <c:title>
          <c:tx>
            <c:rich>
              <a:bodyPr/>
              <a:lstStyle/>
              <a:p>
                <a:pPr>
                  <a:defRPr sz="999" b="1" i="0" u="none" strike="noStrike" baseline="0">
                    <a:solidFill>
                      <a:srgbClr val="000000"/>
                    </a:solidFill>
                    <a:latin typeface="Arial"/>
                    <a:ea typeface="Arial"/>
                    <a:cs typeface="Arial"/>
                  </a:defRPr>
                </a:pPr>
                <a:r>
                  <a:rPr lang="it-IT"/>
                  <a:t>Boys         Girls</a:t>
                </a:r>
              </a:p>
            </c:rich>
          </c:tx>
          <c:layout>
            <c:manualLayout>
              <c:xMode val="edge"/>
              <c:yMode val="edge"/>
              <c:x val="4.3373493975903829E-2"/>
              <c:y val="0.26457399103139012"/>
            </c:manualLayout>
          </c:layout>
          <c:spPr>
            <a:noFill/>
            <a:ln w="25384">
              <a:noFill/>
            </a:ln>
          </c:spPr>
        </c:title>
        <c:numFmt formatCode="General" sourceLinked="1"/>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it-IT"/>
          </a:p>
        </c:txPr>
        <c:crossAx val="91155456"/>
        <c:crosses val="autoZero"/>
        <c:auto val="1"/>
        <c:lblAlgn val="ctr"/>
        <c:lblOffset val="100"/>
        <c:tickLblSkip val="1"/>
        <c:tickMarkSkip val="1"/>
      </c:catAx>
      <c:valAx>
        <c:axId val="91155456"/>
        <c:scaling>
          <c:orientation val="minMax"/>
        </c:scaling>
        <c:axPos val="b"/>
        <c:majorGridlines>
          <c:spPr>
            <a:ln w="3173">
              <a:solidFill>
                <a:srgbClr val="000000"/>
              </a:solidFill>
              <a:prstDash val="solid"/>
            </a:ln>
          </c:spPr>
        </c:majorGridlines>
        <c:numFmt formatCode="0%" sourceLinked="1"/>
        <c:tickLblPos val="nextTo"/>
        <c:spPr>
          <a:ln w="3173">
            <a:solidFill>
              <a:srgbClr val="000000"/>
            </a:solidFill>
            <a:prstDash val="solid"/>
          </a:ln>
        </c:spPr>
        <c:txPr>
          <a:bodyPr rot="0" vert="horz"/>
          <a:lstStyle/>
          <a:p>
            <a:pPr>
              <a:defRPr sz="675" b="0" i="0" u="none" strike="noStrike" baseline="0">
                <a:solidFill>
                  <a:srgbClr val="000000"/>
                </a:solidFill>
                <a:latin typeface="Arial"/>
                <a:ea typeface="Arial"/>
                <a:cs typeface="Arial"/>
              </a:defRPr>
            </a:pPr>
            <a:endParaRPr lang="it-IT"/>
          </a:p>
        </c:txPr>
        <c:crossAx val="77294208"/>
        <c:crosses val="autoZero"/>
        <c:crossBetween val="between"/>
        <c:majorUnit val="0.2"/>
      </c:valAx>
      <c:spPr>
        <a:noFill/>
        <a:ln w="25384">
          <a:noFill/>
        </a:ln>
      </c:spPr>
    </c:plotArea>
    <c:legend>
      <c:legendPos val="r"/>
      <c:layout>
        <c:manualLayout>
          <c:xMode val="edge"/>
          <c:yMode val="edge"/>
          <c:x val="0.34216867469879531"/>
          <c:y val="0"/>
          <c:w val="0.58072289156626355"/>
          <c:h val="8.9686098654708543E-2"/>
        </c:manualLayout>
      </c:layout>
      <c:spPr>
        <a:noFill/>
        <a:ln w="25384">
          <a:noFill/>
        </a:ln>
      </c:spPr>
      <c:txPr>
        <a:bodyPr/>
        <a:lstStyle/>
        <a:p>
          <a:pPr>
            <a:defRPr sz="735" b="0" i="0" u="none" strike="noStrike" baseline="0">
              <a:solidFill>
                <a:srgbClr val="000000"/>
              </a:solidFill>
              <a:latin typeface="Arial"/>
              <a:ea typeface="Arial"/>
              <a:cs typeface="Arial"/>
            </a:defRPr>
          </a:pPr>
          <a:endParaRPr lang="it-IT"/>
        </a:p>
      </c:txPr>
    </c:legend>
    <c:plotVisOnly val="1"/>
    <c:dispBlanksAs val="gap"/>
  </c:chart>
  <c:spPr>
    <a:noFill/>
    <a:ln>
      <a:noFill/>
    </a:ln>
  </c:spPr>
  <c:txPr>
    <a:bodyPr/>
    <a:lstStyle/>
    <a:p>
      <a:pPr>
        <a:defRPr sz="949" b="1" i="0" u="none" strike="noStrike" baseline="0">
          <a:solidFill>
            <a:srgbClr val="000000"/>
          </a:solidFill>
          <a:latin typeface="Arial"/>
          <a:ea typeface="Arial"/>
          <a:cs typeface="Arial"/>
        </a:defRPr>
      </a:pPr>
      <a:endParaRPr lang="it-I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1160714285714286"/>
          <c:y val="4.1860465116279069E-2"/>
          <c:w val="0.86830357142857373"/>
          <c:h val="0.81860465116279235"/>
        </c:manualLayout>
      </c:layout>
      <c:barChart>
        <c:barDir val="col"/>
        <c:grouping val="percentStacked"/>
        <c:ser>
          <c:idx val="0"/>
          <c:order val="0"/>
          <c:tx>
            <c:strRef>
              <c:f>Sheet1!$B$1</c:f>
              <c:strCache>
                <c:ptCount val="1"/>
                <c:pt idx="0">
                  <c:v>&lt;= 30 min</c:v>
                </c:pt>
              </c:strCache>
            </c:strRef>
          </c:tx>
          <c:spPr>
            <a:solidFill>
              <a:srgbClr val="BBE0E3"/>
            </a:solidFill>
            <a:ln w="12689">
              <a:solidFill>
                <a:srgbClr val="000000"/>
              </a:solidFill>
              <a:prstDash val="solid"/>
            </a:ln>
          </c:spPr>
          <c:cat>
            <c:strRef>
              <c:f>Sheet1!$A$2:$A$11</c:f>
              <c:strCache>
                <c:ptCount val="10"/>
                <c:pt idx="0">
                  <c:v>ITA</c:v>
                </c:pt>
                <c:pt idx="1">
                  <c:v>CYP</c:v>
                </c:pt>
                <c:pt idx="2">
                  <c:v>HUN</c:v>
                </c:pt>
                <c:pt idx="3">
                  <c:v>BEL</c:v>
                </c:pt>
                <c:pt idx="4">
                  <c:v>EST</c:v>
                </c:pt>
                <c:pt idx="5">
                  <c:v>ESP</c:v>
                </c:pt>
                <c:pt idx="6">
                  <c:v>GER</c:v>
                </c:pt>
                <c:pt idx="7">
                  <c:v>SWE</c:v>
                </c:pt>
                <c:pt idx="8">
                  <c:v>  </c:v>
                </c:pt>
                <c:pt idx="9">
                  <c:v>All</c:v>
                </c:pt>
              </c:strCache>
            </c:strRef>
          </c:cat>
          <c:val>
            <c:numRef>
              <c:f>Sheet1!$B$2:$B$11</c:f>
              <c:numCache>
                <c:formatCode>General</c:formatCode>
                <c:ptCount val="10"/>
                <c:pt idx="0">
                  <c:v>494</c:v>
                </c:pt>
                <c:pt idx="1">
                  <c:v>226</c:v>
                </c:pt>
                <c:pt idx="2">
                  <c:v>690</c:v>
                </c:pt>
                <c:pt idx="3">
                  <c:v>204</c:v>
                </c:pt>
                <c:pt idx="4">
                  <c:v>420</c:v>
                </c:pt>
                <c:pt idx="5">
                  <c:v>419</c:v>
                </c:pt>
                <c:pt idx="6">
                  <c:v>331</c:v>
                </c:pt>
                <c:pt idx="7">
                  <c:v>144</c:v>
                </c:pt>
                <c:pt idx="9">
                  <c:v>2928</c:v>
                </c:pt>
              </c:numCache>
            </c:numRef>
          </c:val>
        </c:ser>
        <c:ser>
          <c:idx val="1"/>
          <c:order val="1"/>
          <c:tx>
            <c:strRef>
              <c:f>Sheet1!$C$1</c:f>
              <c:strCache>
                <c:ptCount val="1"/>
                <c:pt idx="0">
                  <c:v>30- &lt;= 60 min</c:v>
                </c:pt>
              </c:strCache>
            </c:strRef>
          </c:tx>
          <c:spPr>
            <a:solidFill>
              <a:srgbClr val="333399"/>
            </a:solidFill>
            <a:ln w="12689">
              <a:solidFill>
                <a:srgbClr val="000000"/>
              </a:solidFill>
              <a:prstDash val="solid"/>
            </a:ln>
          </c:spPr>
          <c:cat>
            <c:strRef>
              <c:f>Sheet1!$A$2:$A$11</c:f>
              <c:strCache>
                <c:ptCount val="10"/>
                <c:pt idx="0">
                  <c:v>ITA</c:v>
                </c:pt>
                <c:pt idx="1">
                  <c:v>CYP</c:v>
                </c:pt>
                <c:pt idx="2">
                  <c:v>HUN</c:v>
                </c:pt>
                <c:pt idx="3">
                  <c:v>BEL</c:v>
                </c:pt>
                <c:pt idx="4">
                  <c:v>EST</c:v>
                </c:pt>
                <c:pt idx="5">
                  <c:v>ESP</c:v>
                </c:pt>
                <c:pt idx="6">
                  <c:v>GER</c:v>
                </c:pt>
                <c:pt idx="7">
                  <c:v>SWE</c:v>
                </c:pt>
                <c:pt idx="8">
                  <c:v>  </c:v>
                </c:pt>
                <c:pt idx="9">
                  <c:v>All</c:v>
                </c:pt>
              </c:strCache>
            </c:strRef>
          </c:cat>
          <c:val>
            <c:numRef>
              <c:f>Sheet1!$C$2:$C$11</c:f>
              <c:numCache>
                <c:formatCode>General</c:formatCode>
                <c:ptCount val="10"/>
                <c:pt idx="0">
                  <c:v>287</c:v>
                </c:pt>
                <c:pt idx="1">
                  <c:v>217</c:v>
                </c:pt>
                <c:pt idx="2">
                  <c:v>758</c:v>
                </c:pt>
                <c:pt idx="3">
                  <c:v>235</c:v>
                </c:pt>
                <c:pt idx="4">
                  <c:v>527</c:v>
                </c:pt>
                <c:pt idx="5">
                  <c:v>624</c:v>
                </c:pt>
                <c:pt idx="6">
                  <c:v>508</c:v>
                </c:pt>
                <c:pt idx="7">
                  <c:v>263</c:v>
                </c:pt>
                <c:pt idx="9">
                  <c:v>3419</c:v>
                </c:pt>
              </c:numCache>
            </c:numRef>
          </c:val>
        </c:ser>
        <c:ser>
          <c:idx val="2"/>
          <c:order val="2"/>
          <c:tx>
            <c:strRef>
              <c:f>Sheet1!$D$1</c:f>
              <c:strCache>
                <c:ptCount val="1"/>
                <c:pt idx="0">
                  <c:v>60+ min</c:v>
                </c:pt>
              </c:strCache>
            </c:strRef>
          </c:tx>
          <c:spPr>
            <a:solidFill>
              <a:srgbClr val="009999"/>
            </a:solidFill>
            <a:ln w="12689">
              <a:solidFill>
                <a:srgbClr val="000000"/>
              </a:solidFill>
              <a:prstDash val="solid"/>
            </a:ln>
          </c:spPr>
          <c:cat>
            <c:strRef>
              <c:f>Sheet1!$A$2:$A$11</c:f>
              <c:strCache>
                <c:ptCount val="10"/>
                <c:pt idx="0">
                  <c:v>ITA</c:v>
                </c:pt>
                <c:pt idx="1">
                  <c:v>CYP</c:v>
                </c:pt>
                <c:pt idx="2">
                  <c:v>HUN</c:v>
                </c:pt>
                <c:pt idx="3">
                  <c:v>BEL</c:v>
                </c:pt>
                <c:pt idx="4">
                  <c:v>EST</c:v>
                </c:pt>
                <c:pt idx="5">
                  <c:v>ESP</c:v>
                </c:pt>
                <c:pt idx="6">
                  <c:v>GER</c:v>
                </c:pt>
                <c:pt idx="7">
                  <c:v>SWE</c:v>
                </c:pt>
                <c:pt idx="8">
                  <c:v>  </c:v>
                </c:pt>
                <c:pt idx="9">
                  <c:v>All</c:v>
                </c:pt>
              </c:strCache>
            </c:strRef>
          </c:cat>
          <c:val>
            <c:numRef>
              <c:f>Sheet1!$D$2:$D$11</c:f>
              <c:numCache>
                <c:formatCode>General</c:formatCode>
                <c:ptCount val="10"/>
                <c:pt idx="0">
                  <c:v>56</c:v>
                </c:pt>
                <c:pt idx="1">
                  <c:v>41</c:v>
                </c:pt>
                <c:pt idx="2">
                  <c:v>200</c:v>
                </c:pt>
                <c:pt idx="3">
                  <c:v>56</c:v>
                </c:pt>
                <c:pt idx="4">
                  <c:v>159</c:v>
                </c:pt>
                <c:pt idx="5">
                  <c:v>210</c:v>
                </c:pt>
                <c:pt idx="6">
                  <c:v>241</c:v>
                </c:pt>
                <c:pt idx="7">
                  <c:v>141</c:v>
                </c:pt>
                <c:pt idx="9">
                  <c:v>1104</c:v>
                </c:pt>
              </c:numCache>
            </c:numRef>
          </c:val>
        </c:ser>
        <c:overlap val="100"/>
        <c:axId val="69542272"/>
        <c:axId val="69543808"/>
      </c:barChart>
      <c:catAx>
        <c:axId val="69542272"/>
        <c:scaling>
          <c:orientation val="minMax"/>
        </c:scaling>
        <c:axPos val="b"/>
        <c:numFmt formatCode="General" sourceLinked="1"/>
        <c:tickLblPos val="nextTo"/>
        <c:spPr>
          <a:ln w="3172">
            <a:solidFill>
              <a:srgbClr val="000000"/>
            </a:solidFill>
            <a:prstDash val="solid"/>
          </a:ln>
        </c:spPr>
        <c:txPr>
          <a:bodyPr rot="0" vert="horz"/>
          <a:lstStyle/>
          <a:p>
            <a:pPr>
              <a:defRPr sz="749" b="0" i="0" u="none" strike="noStrike" baseline="0">
                <a:solidFill>
                  <a:srgbClr val="000000"/>
                </a:solidFill>
                <a:latin typeface="Arial"/>
                <a:ea typeface="Arial"/>
                <a:cs typeface="Arial"/>
              </a:defRPr>
            </a:pPr>
            <a:endParaRPr lang="it-IT"/>
          </a:p>
        </c:txPr>
        <c:crossAx val="69543808"/>
        <c:crosses val="autoZero"/>
        <c:auto val="1"/>
        <c:lblAlgn val="ctr"/>
        <c:lblOffset val="100"/>
        <c:tickLblSkip val="1"/>
        <c:tickMarkSkip val="1"/>
      </c:catAx>
      <c:valAx>
        <c:axId val="69543808"/>
        <c:scaling>
          <c:orientation val="minMax"/>
        </c:scaling>
        <c:axPos val="l"/>
        <c:majorGridlines>
          <c:spPr>
            <a:ln w="3172">
              <a:solidFill>
                <a:srgbClr val="000000"/>
              </a:solidFill>
              <a:prstDash val="solid"/>
            </a:ln>
          </c:spPr>
        </c:majorGridlines>
        <c:numFmt formatCode="0%" sourceLinked="1"/>
        <c:tickLblPos val="nextTo"/>
        <c:spPr>
          <a:ln w="3172">
            <a:solidFill>
              <a:srgbClr val="000000"/>
            </a:solidFill>
            <a:prstDash val="solid"/>
          </a:ln>
        </c:spPr>
        <c:txPr>
          <a:bodyPr rot="0" vert="horz"/>
          <a:lstStyle/>
          <a:p>
            <a:pPr>
              <a:defRPr sz="749" b="0" i="0" u="none" strike="noStrike" baseline="0">
                <a:solidFill>
                  <a:srgbClr val="000000"/>
                </a:solidFill>
                <a:latin typeface="Arial"/>
                <a:ea typeface="Arial"/>
                <a:cs typeface="Arial"/>
              </a:defRPr>
            </a:pPr>
            <a:endParaRPr lang="it-IT"/>
          </a:p>
        </c:txPr>
        <c:crossAx val="69542272"/>
        <c:crosses val="autoZero"/>
        <c:crossBetween val="between"/>
      </c:valAx>
      <c:spPr>
        <a:noFill/>
        <a:ln w="12689">
          <a:solidFill>
            <a:srgbClr val="000000"/>
          </a:solidFill>
          <a:prstDash val="solid"/>
        </a:ln>
      </c:spPr>
    </c:plotArea>
    <c:legend>
      <c:legendPos val="b"/>
      <c:layout>
        <c:manualLayout>
          <c:xMode val="edge"/>
          <c:yMode val="edge"/>
          <c:x val="0.24330357142857137"/>
          <c:y val="0.3023255813953511"/>
          <c:w val="0.5424107142857143"/>
          <c:h val="0.11162790697674418"/>
        </c:manualLayout>
      </c:layout>
      <c:spPr>
        <a:solidFill>
          <a:srgbClr val="FFFFFF"/>
        </a:solidFill>
        <a:ln w="12689">
          <a:solidFill>
            <a:srgbClr val="FFFFFF"/>
          </a:solidFill>
          <a:prstDash val="solid"/>
        </a:ln>
      </c:spPr>
      <c:txPr>
        <a:bodyPr/>
        <a:lstStyle/>
        <a:p>
          <a:pPr>
            <a:defRPr sz="894" b="0" i="0" u="none" strike="noStrike" baseline="0">
              <a:solidFill>
                <a:srgbClr val="000000"/>
              </a:solidFill>
              <a:latin typeface="Arial"/>
              <a:ea typeface="Arial"/>
              <a:cs typeface="Arial"/>
            </a:defRPr>
          </a:pPr>
          <a:endParaRPr lang="it-IT"/>
        </a:p>
      </c:txPr>
    </c:legend>
    <c:plotVisOnly val="1"/>
    <c:dispBlanksAs val="gap"/>
  </c:chart>
  <c:spPr>
    <a:noFill/>
    <a:ln>
      <a:noFill/>
    </a:ln>
  </c:spPr>
  <c:txPr>
    <a:bodyPr/>
    <a:lstStyle/>
    <a:p>
      <a:pPr>
        <a:defRPr sz="974" b="1" i="0" u="none" strike="noStrike" baseline="0">
          <a:solidFill>
            <a:srgbClr val="000000"/>
          </a:solidFill>
          <a:latin typeface="Arial"/>
          <a:ea typeface="Arial"/>
          <a:cs typeface="Arial"/>
        </a:defRPr>
      </a:pPr>
      <a:endParaRPr lang="it-IT"/>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6012084592145015"/>
          <c:y val="0.10576923076923123"/>
          <c:w val="0.81268882175226409"/>
          <c:h val="0.46153846153846245"/>
        </c:manualLayout>
      </c:layout>
      <c:lineChart>
        <c:grouping val="standard"/>
        <c:ser>
          <c:idx val="0"/>
          <c:order val="0"/>
          <c:tx>
            <c:v>Median</c:v>
          </c:tx>
          <c:spPr>
            <a:ln w="12664">
              <a:solidFill>
                <a:srgbClr val="000000"/>
              </a:solidFill>
              <a:prstDash val="solid"/>
            </a:ln>
          </c:spPr>
          <c:marker>
            <c:symbol val="x"/>
            <c:size val="4"/>
            <c:spPr>
              <a:solidFill>
                <a:srgbClr val="000080"/>
              </a:solidFill>
              <a:ln>
                <a:solidFill>
                  <a:srgbClr val="000080"/>
                </a:solidFill>
                <a:prstDash val="solid"/>
              </a:ln>
            </c:spPr>
          </c:marker>
          <c:dPt>
            <c:idx val="0"/>
            <c:marker>
              <c:spPr>
                <a:solidFill>
                  <a:srgbClr val="3366FF"/>
                </a:solidFill>
                <a:ln>
                  <a:solidFill>
                    <a:srgbClr val="3366FF"/>
                  </a:solidFill>
                  <a:prstDash val="solid"/>
                </a:ln>
              </c:spPr>
            </c:marker>
          </c:dPt>
          <c:dPt>
            <c:idx val="1"/>
            <c:marker>
              <c:spPr>
                <a:solidFill>
                  <a:srgbClr val="99CC00"/>
                </a:solidFill>
                <a:ln>
                  <a:solidFill>
                    <a:srgbClr val="99CC00"/>
                  </a:solidFill>
                  <a:prstDash val="solid"/>
                </a:ln>
              </c:spPr>
            </c:marker>
          </c:dPt>
          <c:dPt>
            <c:idx val="2"/>
            <c:marker>
              <c:spPr>
                <a:solidFill>
                  <a:srgbClr val="FF9900"/>
                </a:solidFill>
                <a:ln>
                  <a:solidFill>
                    <a:srgbClr val="FF9900"/>
                  </a:solidFill>
                  <a:prstDash val="solid"/>
                </a:ln>
              </c:spPr>
            </c:marker>
          </c:dPt>
          <c:dPt>
            <c:idx val="3"/>
            <c:marker>
              <c:spPr>
                <a:solidFill>
                  <a:srgbClr val="FF0000"/>
                </a:solidFill>
                <a:ln>
                  <a:solidFill>
                    <a:srgbClr val="FF0000"/>
                  </a:solidFill>
                  <a:prstDash val="solid"/>
                </a:ln>
              </c:spPr>
            </c:marker>
          </c:dPt>
          <c:cat>
            <c:strRef>
              <c:f>(Accelerometer!$B$30,Accelerometer!$D$30,Accelerometer!$F$30,Accelerometer!$H$30)</c:f>
              <c:strCache>
                <c:ptCount val="4"/>
                <c:pt idx="0">
                  <c:v>Thin</c:v>
                </c:pt>
                <c:pt idx="1">
                  <c:v>Normal weight</c:v>
                </c:pt>
                <c:pt idx="2">
                  <c:v>Overweight</c:v>
                </c:pt>
                <c:pt idx="3">
                  <c:v>Obese</c:v>
                </c:pt>
              </c:strCache>
            </c:strRef>
          </c:cat>
          <c:val>
            <c:numRef>
              <c:f>(Accelerometer!$C$32,Accelerometer!$E$32,Accelerometer!$G$32,Accelerometer!$I$32)</c:f>
              <c:numCache>
                <c:formatCode>General</c:formatCode>
                <c:ptCount val="4"/>
                <c:pt idx="0">
                  <c:v>7</c:v>
                </c:pt>
                <c:pt idx="1">
                  <c:v>11</c:v>
                </c:pt>
                <c:pt idx="2">
                  <c:v>26.6</c:v>
                </c:pt>
                <c:pt idx="3">
                  <c:v>51.5</c:v>
                </c:pt>
              </c:numCache>
            </c:numRef>
          </c:val>
        </c:ser>
        <c:marker val="1"/>
        <c:axId val="69597824"/>
        <c:axId val="69607808"/>
      </c:lineChart>
      <c:catAx>
        <c:axId val="69597824"/>
        <c:scaling>
          <c:orientation val="minMax"/>
        </c:scaling>
        <c:axPos val="b"/>
        <c:numFmt formatCode="General" sourceLinked="1"/>
        <c:tickLblPos val="nextTo"/>
        <c:spPr>
          <a:ln w="3166">
            <a:solidFill>
              <a:srgbClr val="000000"/>
            </a:solidFill>
            <a:prstDash val="solid"/>
          </a:ln>
        </c:spPr>
        <c:txPr>
          <a:bodyPr rot="0" vert="horz"/>
          <a:lstStyle/>
          <a:p>
            <a:pPr>
              <a:defRPr sz="922" b="0" i="0" u="none" strike="noStrike" baseline="0">
                <a:solidFill>
                  <a:srgbClr val="000000"/>
                </a:solidFill>
                <a:latin typeface="Arial"/>
                <a:ea typeface="Arial"/>
                <a:cs typeface="Arial"/>
              </a:defRPr>
            </a:pPr>
            <a:endParaRPr lang="it-IT"/>
          </a:p>
        </c:txPr>
        <c:crossAx val="69607808"/>
        <c:crosses val="autoZero"/>
        <c:auto val="1"/>
        <c:lblAlgn val="ctr"/>
        <c:lblOffset val="100"/>
        <c:tickLblSkip val="1"/>
        <c:tickMarkSkip val="1"/>
      </c:catAx>
      <c:valAx>
        <c:axId val="69607808"/>
        <c:scaling>
          <c:orientation val="minMax"/>
          <c:max val="60"/>
          <c:min val="0"/>
        </c:scaling>
        <c:axPos val="l"/>
        <c:numFmt formatCode="General" sourceLinked="1"/>
        <c:tickLblPos val="nextTo"/>
        <c:spPr>
          <a:ln w="3166">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it-IT"/>
          </a:p>
        </c:txPr>
        <c:crossAx val="69597824"/>
        <c:crosses val="autoZero"/>
        <c:crossBetween val="between"/>
        <c:majorUnit val="20"/>
      </c:valAx>
      <c:spPr>
        <a:noFill/>
        <a:ln w="25328">
          <a:noFill/>
        </a:ln>
      </c:spPr>
    </c:plotArea>
    <c:plotVisOnly val="1"/>
    <c:dispBlanksAs val="gap"/>
  </c:chart>
  <c:spPr>
    <a:solidFill>
      <a:srgbClr val="FFFFFF"/>
    </a:solidFill>
    <a:ln>
      <a:noFill/>
    </a:ln>
  </c:spPr>
  <c:txPr>
    <a:bodyPr/>
    <a:lstStyle/>
    <a:p>
      <a:pPr>
        <a:defRPr sz="573" b="0" i="0" u="none" strike="noStrike" baseline="0">
          <a:solidFill>
            <a:srgbClr val="000000"/>
          </a:solidFill>
          <a:latin typeface="Arial"/>
          <a:ea typeface="Arial"/>
          <a:cs typeface="Arial"/>
        </a:defRPr>
      </a:pPr>
      <a:endParaRPr lang="it-IT"/>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2162162162162204"/>
          <c:y val="0.12352941176470589"/>
          <c:w val="0.84797297297297303"/>
          <c:h val="0.57647058823529407"/>
        </c:manualLayout>
      </c:layout>
      <c:lineChart>
        <c:grouping val="standard"/>
        <c:ser>
          <c:idx val="0"/>
          <c:order val="0"/>
          <c:tx>
            <c:v>Median</c:v>
          </c:tx>
          <c:spPr>
            <a:ln w="12680">
              <a:solidFill>
                <a:srgbClr val="000000"/>
              </a:solidFill>
              <a:prstDash val="solid"/>
            </a:ln>
          </c:spPr>
          <c:marker>
            <c:symbol val="x"/>
            <c:size val="4"/>
            <c:spPr>
              <a:solidFill>
                <a:srgbClr val="000080"/>
              </a:solidFill>
              <a:ln>
                <a:solidFill>
                  <a:srgbClr val="000080"/>
                </a:solidFill>
                <a:prstDash val="solid"/>
              </a:ln>
            </c:spPr>
          </c:marker>
          <c:dPt>
            <c:idx val="0"/>
            <c:marker>
              <c:spPr>
                <a:solidFill>
                  <a:srgbClr val="3366FF"/>
                </a:solidFill>
                <a:ln>
                  <a:solidFill>
                    <a:srgbClr val="3366FF"/>
                  </a:solidFill>
                  <a:prstDash val="solid"/>
                </a:ln>
              </c:spPr>
            </c:marker>
          </c:dPt>
          <c:dPt>
            <c:idx val="1"/>
            <c:marker>
              <c:spPr>
                <a:solidFill>
                  <a:srgbClr val="99CC00"/>
                </a:solidFill>
                <a:ln>
                  <a:solidFill>
                    <a:srgbClr val="99CC00"/>
                  </a:solidFill>
                  <a:prstDash val="solid"/>
                </a:ln>
              </c:spPr>
            </c:marker>
          </c:dPt>
          <c:dPt>
            <c:idx val="2"/>
            <c:marker>
              <c:spPr>
                <a:solidFill>
                  <a:srgbClr val="FF9900"/>
                </a:solidFill>
                <a:ln>
                  <a:solidFill>
                    <a:srgbClr val="FF9900"/>
                  </a:solidFill>
                  <a:prstDash val="solid"/>
                </a:ln>
              </c:spPr>
            </c:marker>
          </c:dPt>
          <c:dPt>
            <c:idx val="3"/>
            <c:marker>
              <c:spPr>
                <a:solidFill>
                  <a:srgbClr val="FF0000"/>
                </a:solidFill>
                <a:ln>
                  <a:solidFill>
                    <a:srgbClr val="FF0000"/>
                  </a:solidFill>
                  <a:prstDash val="solid"/>
                </a:ln>
              </c:spPr>
            </c:marker>
          </c:dPt>
          <c:cat>
            <c:strRef>
              <c:f>(Cholesterol!$B$27,Cholesterol!$D$27,Cholesterol!$F$27,Cholesterol!$H$27)</c:f>
              <c:strCache>
                <c:ptCount val="4"/>
                <c:pt idx="0">
                  <c:v>Thin</c:v>
                </c:pt>
                <c:pt idx="1">
                  <c:v>Normal weight</c:v>
                </c:pt>
                <c:pt idx="2">
                  <c:v>Overweight</c:v>
                </c:pt>
                <c:pt idx="3">
                  <c:v>Obese</c:v>
                </c:pt>
              </c:strCache>
            </c:strRef>
          </c:cat>
          <c:val>
            <c:numRef>
              <c:f>(Cholesterol!$C$49,Cholesterol!$E$49,Cholesterol!$G$49,Cholesterol!$I$49)</c:f>
              <c:numCache>
                <c:formatCode>0.0</c:formatCode>
                <c:ptCount val="4"/>
                <c:pt idx="0">
                  <c:v>2.8</c:v>
                </c:pt>
                <c:pt idx="1">
                  <c:v>2.9</c:v>
                </c:pt>
                <c:pt idx="2">
                  <c:v>3.1</c:v>
                </c:pt>
                <c:pt idx="3">
                  <c:v>3.3</c:v>
                </c:pt>
              </c:numCache>
            </c:numRef>
          </c:val>
        </c:ser>
        <c:marker val="1"/>
        <c:axId val="69808896"/>
        <c:axId val="69810432"/>
      </c:lineChart>
      <c:catAx>
        <c:axId val="69808896"/>
        <c:scaling>
          <c:orientation val="minMax"/>
        </c:scaling>
        <c:axPos val="b"/>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it-IT"/>
          </a:p>
        </c:txPr>
        <c:crossAx val="69810432"/>
        <c:crosses val="autoZero"/>
        <c:auto val="1"/>
        <c:lblAlgn val="ctr"/>
        <c:lblOffset val="100"/>
        <c:tickLblSkip val="1"/>
        <c:tickMarkSkip val="1"/>
      </c:catAx>
      <c:valAx>
        <c:axId val="69810432"/>
        <c:scaling>
          <c:orientation val="minMax"/>
          <c:max val="3.5"/>
          <c:min val="2.5"/>
        </c:scaling>
        <c:axPos val="l"/>
        <c:numFmt formatCode="0.0" sourceLinked="1"/>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it-IT"/>
          </a:p>
        </c:txPr>
        <c:crossAx val="69808896"/>
        <c:crosses val="autoZero"/>
        <c:crossBetween val="between"/>
        <c:majorUnit val="0.5"/>
      </c:valAx>
      <c:spPr>
        <a:noFill/>
        <a:ln w="25360">
          <a:noFill/>
        </a:ln>
      </c:spPr>
    </c:plotArea>
    <c:plotVisOnly val="1"/>
    <c:dispBlanksAs val="gap"/>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it-IT"/>
    </a:p>
  </c:txPr>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1064</TotalTime>
  <Pages>19</Pages>
  <Words>2933</Words>
  <Characters>16719</Characters>
  <Application>Microsoft Office Word</Application>
  <DocSecurity>0</DocSecurity>
  <Lines>139</Lines>
  <Paragraphs>39</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19613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21</cp:revision>
  <dcterms:created xsi:type="dcterms:W3CDTF">2012-07-27T07:25:00Z</dcterms:created>
  <dcterms:modified xsi:type="dcterms:W3CDTF">2012-08-03T08:22:00Z</dcterms:modified>
</cp:coreProperties>
</file>